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4111"/>
      </w:tblGrid>
      <w:tr>
        <w:tblPrEx/>
        <w:trPr/>
        <w:tc>
          <w:tcPr>
            <w:tcW w:w="634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/>
                <w:b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/>
                <w:b/>
                <w:sz w:val="28"/>
                <w:szCs w:val="28"/>
                <w:highlight w:val="none"/>
              </w:rPr>
              <w:t xml:space="preserve">СО ТЗ.0003/0-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highlight w:val="none"/>
              </w:rPr>
              <w:t xml:space="preserve">0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highlight w:val="none"/>
              </w:rPr>
              <w:t xml:space="preserve">6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highlight w:val="none"/>
              </w:rPr>
            </w:r>
          </w:p>
        </w:tc>
        <w:tc>
          <w:tcPr>
            <w:tcW w:w="4111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  <w:t xml:space="preserve">УТВЕРЖДАЮ:</w:t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  <w:t xml:space="preserve">Заместитель директора</w:t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  <w:t xml:space="preserve">по техническим вопросам– </w:t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  <w:t xml:space="preserve">главный инженер</w:t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  <w:t xml:space="preserve">____________</w:t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  <w:t xml:space="preserve">Таранков А.И.</w:t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  <w:t xml:space="preserve">«___»___________ 20__ г.</w:t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 w:eastAsia="Times New Roman"/>
          <w:sz w:val="28"/>
          <w:szCs w:val="28"/>
          <w:highlight w:val="none"/>
        </w:rPr>
      </w:pPr>
      <w:r>
        <w:rPr>
          <w:rFonts w:ascii="Times New Roman" w:hAnsi="Times New Roman" w:eastAsia="Times New Roman"/>
          <w:b/>
          <w:bCs/>
          <w:sz w:val="28"/>
          <w:szCs w:val="28"/>
          <w:highlight w:val="none"/>
        </w:rPr>
        <w:t xml:space="preserve">ТЕХНИЧЕСКОЕ ЗАДАНИЕ </w:t>
      </w:r>
      <w:r>
        <w:rPr>
          <w:rFonts w:ascii="Times New Roman" w:hAnsi="Times New Roman" w:eastAsia="Times New Roman"/>
          <w:sz w:val="28"/>
          <w:szCs w:val="28"/>
          <w:highlight w:val="none"/>
        </w:rPr>
      </w:r>
      <w:r>
        <w:rPr>
          <w:rFonts w:ascii="Times New Roman" w:hAnsi="Times New Roman" w:eastAsia="Times New Roman"/>
          <w:sz w:val="28"/>
          <w:szCs w:val="28"/>
          <w:highlight w:val="none"/>
        </w:rPr>
      </w:r>
    </w:p>
    <w:p>
      <w:pPr>
        <w:contextualSpacing w:val="0"/>
        <w:jc w:val="center"/>
        <w:spacing w:after="0" w:line="240" w:lineRule="auto"/>
        <w:rPr>
          <w:rFonts w:ascii="Times New Roman" w:hAnsi="Times New Roman" w:eastAsia="Times New Roman"/>
          <w:i w:val="0"/>
          <w:iCs w:val="0"/>
          <w:sz w:val="28"/>
          <w:szCs w:val="28"/>
          <w:highlight w:val="none"/>
        </w:rPr>
        <w:pBdr>
          <w:top w:val="none" w:color="000000" w:sz="4" w:space="0"/>
          <w:left w:val="none" w:color="000000" w:sz="4" w:space="3"/>
          <w:bottom w:val="none" w:color="000000" w:sz="4" w:space="0"/>
          <w:right w:val="none" w:color="000000" w:sz="4" w:space="0"/>
          <w:between w:val="none" w:color="000000" w:sz="4" w:space="0"/>
        </w:pBdr>
        <w:suppressLineNumbers w:val="0"/>
      </w:pP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на проведение закупки на поставку </w:t>
      </w: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КТП с силовым трансформатором</w:t>
      </w:r>
      <w:r>
        <w:rPr>
          <w:rFonts w:ascii="Times New Roman" w:hAnsi="Times New Roman" w:eastAsia="Times New Roman"/>
          <w:i w:val="0"/>
          <w:iCs w:val="0"/>
          <w:sz w:val="28"/>
          <w:szCs w:val="28"/>
          <w:highlight w:val="none"/>
        </w:rPr>
      </w:r>
      <w:r>
        <w:rPr>
          <w:rFonts w:ascii="Times New Roman" w:hAnsi="Times New Roman" w:eastAsia="Times New Roman"/>
          <w:i w:val="0"/>
          <w:iCs w:val="0"/>
          <w:sz w:val="28"/>
          <w:szCs w:val="28"/>
          <w:highlight w:val="none"/>
        </w:rPr>
      </w:r>
    </w:p>
    <w:p>
      <w:pPr>
        <w:ind w:left="708"/>
        <w:spacing w:after="0" w:line="240" w:lineRule="auto"/>
        <w:rPr>
          <w:rFonts w:ascii="Times New Roman" w:hAnsi="Times New Roman" w:eastAsia="Times New Roman"/>
          <w:sz w:val="28"/>
          <w:szCs w:val="28"/>
          <w:highlight w:val="none"/>
        </w:rPr>
      </w:pPr>
      <w:r>
        <w:rPr>
          <w:rFonts w:ascii="Times New Roman" w:hAnsi="Times New Roman" w:eastAsia="Times New Roman"/>
          <w:sz w:val="28"/>
          <w:szCs w:val="28"/>
          <w:highlight w:val="none"/>
        </w:rPr>
      </w:r>
      <w:r>
        <w:rPr>
          <w:rFonts w:ascii="Times New Roman" w:hAnsi="Times New Roman" w:eastAsia="Times New Roman"/>
          <w:sz w:val="28"/>
          <w:szCs w:val="28"/>
          <w:highlight w:val="none"/>
        </w:rPr>
      </w:r>
      <w:r>
        <w:rPr>
          <w:rFonts w:ascii="Times New Roman" w:hAnsi="Times New Roman" w:eastAsia="Times New Roman"/>
          <w:sz w:val="28"/>
          <w:szCs w:val="28"/>
          <w:highlight w:val="none"/>
        </w:rPr>
      </w:r>
    </w:p>
    <w:p>
      <w:pPr>
        <w:numPr>
          <w:ilvl w:val="0"/>
          <w:numId w:val="1"/>
        </w:numPr>
        <w:ind w:left="1064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eastAsia="Times New Roman"/>
          <w:b/>
          <w:bCs/>
          <w:sz w:val="26"/>
          <w:szCs w:val="26"/>
          <w:highlight w:val="none"/>
        </w:rPr>
        <w:t xml:space="preserve">Общие положения.</w:t>
      </w:r>
      <w:r>
        <w:rPr>
          <w:rFonts w:ascii="Times New Roman" w:hAnsi="Times New Roman" w:eastAsia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eastAsia="Times New Roman"/>
          <w:b/>
          <w:bCs/>
          <w:sz w:val="26"/>
          <w:szCs w:val="26"/>
          <w:highlight w:val="none"/>
        </w:rPr>
      </w:r>
    </w:p>
    <w:p>
      <w:pPr>
        <w:numPr>
          <w:ilvl w:val="1"/>
          <w:numId w:val="11"/>
        </w:numPr>
        <w:ind w:left="0" w:right="-93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Зака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зчик: 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АО «Россети Сибирь Тываэнерго».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numPr>
          <w:ilvl w:val="1"/>
          <w:numId w:val="11"/>
        </w:numPr>
        <w:contextualSpacing w:val="0"/>
        <w:ind w:left="0" w:right="-93" w:firstLine="709"/>
        <w:jc w:val="both"/>
        <w:keepLines/>
        <w:keepNext/>
        <w:spacing w:after="0" w:line="240" w:lineRule="auto"/>
        <w:rPr>
          <w:rFonts w:ascii="Times New Roman" w:hAnsi="Times New Roman" w:cs="Times New Roman"/>
          <w:sz w:val="26"/>
          <w:szCs w:val="26"/>
          <w:highlight w:val="none"/>
          <w14:ligatures w14:val="none"/>
        </w:rP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Предмет закупки: п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оставка   комплектных   трансформаторных   подстанций(КТП)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.</w:t>
      </w:r>
      <w:r>
        <w:rPr>
          <w:rFonts w:ascii="Times New Roman" w:hAnsi="Times New Roman" w:cs="Times New Roman"/>
          <w:sz w:val="26"/>
          <w:szCs w:val="26"/>
          <w:highlight w:val="none"/>
          <w14:ligatures w14:val="none"/>
        </w:rPr>
      </w:r>
      <w:r>
        <w:rPr>
          <w:rFonts w:ascii="Times New Roman" w:hAnsi="Times New Roman" w:cs="Times New Roman"/>
          <w:sz w:val="26"/>
          <w:szCs w:val="26"/>
          <w:highlight w:val="none"/>
          <w14:ligatures w14:val="none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numPr>
          <w:ilvl w:val="0"/>
          <w:numId w:val="1"/>
        </w:numPr>
        <w:ind w:left="1064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eastAsia="Times New Roman"/>
          <w:b/>
          <w:bCs/>
          <w:sz w:val="26"/>
          <w:szCs w:val="26"/>
          <w:highlight w:val="none"/>
        </w:rPr>
        <w:t xml:space="preserve">Место, срок и условия поставки.</w:t>
      </w:r>
      <w:r>
        <w:rPr>
          <w:rFonts w:ascii="Times New Roman" w:hAnsi="Times New Roman" w:eastAsia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eastAsia="Times New Roman"/>
          <w:b/>
          <w:bCs/>
          <w:sz w:val="26"/>
          <w:szCs w:val="26"/>
          <w:highlight w:val="none"/>
        </w:rPr>
      </w:r>
    </w:p>
    <w:p>
      <w:pPr>
        <w:numPr>
          <w:ilvl w:val="1"/>
          <w:numId w:val="1"/>
        </w:numPr>
        <w:ind w:left="0" w:right="0" w:firstLine="709"/>
        <w:jc w:val="both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eastAsia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  <w:t xml:space="preserve">Место поставки: г. Кызыл, ул. Колхозная, 2б; Центральный склад АО «Россети Сибирь Тываэнерго»</w:t>
      </w:r>
      <w:r>
        <w:rPr>
          <w:rFonts w:ascii="Times New Roman" w:hAnsi="Times New Roman" w:eastAsia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eastAsia="Times New Roman"/>
          <w:b/>
          <w:bCs/>
          <w:sz w:val="26"/>
          <w:szCs w:val="26"/>
          <w:highlight w:val="none"/>
        </w:rPr>
      </w:r>
    </w:p>
    <w:p>
      <w:pPr>
        <w:numPr>
          <w:ilvl w:val="1"/>
          <w:numId w:val="1"/>
        </w:numPr>
        <w:ind w:left="0" w:right="0" w:firstLine="709"/>
        <w:jc w:val="both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  <w:t xml:space="preserve">Поставка продукции осуществляется транспортными средствами до места поставки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. </w:t>
      </w:r>
      <w:r>
        <w:rPr>
          <w:rFonts w:ascii="Times New Roman" w:hAnsi="Times New Roman" w:eastAsia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eastAsia="Times New Roman"/>
          <w:b/>
          <w:bCs/>
          <w:sz w:val="26"/>
          <w:szCs w:val="26"/>
          <w:highlight w:val="none"/>
        </w:rPr>
      </w:r>
    </w:p>
    <w:p>
      <w:pPr>
        <w:ind w:left="0" w:right="0"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У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ть требованиям, указанным в технических условиях изготовителя изделия, требованиям ГОСТ 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23216-78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 и др. нормативно-технической документации. Порядок отгрузки, специальные требования к таре и упаковке должны быть определены в 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договоре на поставку продукции. 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numPr>
          <w:ilvl w:val="1"/>
          <w:numId w:val="1"/>
        </w:numPr>
        <w:ind w:left="0" w:right="0" w:firstLine="709"/>
        <w:jc w:val="both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Срок поставки: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 с даты заключения договора в течение 45 календарных дней.</w:t>
      </w:r>
      <w:r>
        <w:rPr>
          <w:rFonts w:ascii="Times New Roman" w:hAnsi="Times New Roman" w:eastAsia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eastAsia="Times New Roman"/>
          <w:b/>
          <w:bCs/>
          <w:sz w:val="26"/>
          <w:szCs w:val="26"/>
          <w:highlight w:val="none"/>
        </w:rPr>
      </w:r>
    </w:p>
    <w:p>
      <w:pPr>
        <w:ind w:left="1429" w:firstLine="0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pStyle w:val="763"/>
        <w:numPr>
          <w:ilvl w:val="0"/>
          <w:numId w:val="1"/>
        </w:numPr>
        <w:ind w:left="709" w:right="0" w:firstLine="0"/>
        <w:jc w:val="both"/>
        <w:rPr>
          <w:b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  <w:t xml:space="preserve">Перечень и объемы поставки.</w:t>
      </w: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</w:p>
    <w:p>
      <w:pPr>
        <w:pStyle w:val="763"/>
        <w:numPr>
          <w:ilvl w:val="1"/>
          <w:numId w:val="1"/>
        </w:numPr>
        <w:ind w:left="709" w:right="0" w:firstLine="0"/>
        <w:jc w:val="both"/>
        <w:rPr>
          <w:b/>
          <w:bCs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Перечень и объёмы поставки указаны в Приложении №1.</w:t>
      </w:r>
      <w:r>
        <w:rPr>
          <w:b/>
          <w:bCs/>
          <w:sz w:val="26"/>
          <w:szCs w:val="26"/>
          <w:highlight w:val="none"/>
        </w:rPr>
      </w:r>
      <w:r>
        <w:rPr>
          <w:b/>
          <w:bCs/>
          <w:sz w:val="26"/>
          <w:szCs w:val="26"/>
          <w:highlight w:val="none"/>
        </w:rPr>
      </w:r>
    </w:p>
    <w:p>
      <w:pPr>
        <w:pStyle w:val="763"/>
        <w:numPr>
          <w:ilvl w:val="1"/>
          <w:numId w:val="1"/>
        </w:numPr>
        <w:ind w:left="709" w:right="0" w:firstLine="0"/>
        <w:jc w:val="both"/>
        <w:rPr>
          <w:b/>
          <w:bCs/>
          <w:sz w:val="26"/>
          <w:szCs w:val="26"/>
          <w:highlight w:val="none"/>
        </w:rPr>
      </w:pPr>
      <w:r>
        <w:rPr>
          <w:rFonts w:ascii="Times New Roman" w:hAnsi="Times New Roman" w:eastAsia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Все налоги, сборы, отчисления и другие платежи, включая таможенные платежи и сборы, стоимость полного комплекта запасных частей, расходных материалов и принадлежностей (ЗИП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)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</w:t>
      </w:r>
      <w:r>
        <w:rPr>
          <w:b/>
          <w:bCs/>
          <w:sz w:val="26"/>
          <w:szCs w:val="26"/>
          <w:highlight w:val="none"/>
        </w:rPr>
      </w:r>
      <w:r>
        <w:rPr>
          <w:b/>
          <w:bCs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/>
          <w:i/>
          <w:sz w:val="26"/>
          <w:szCs w:val="26"/>
          <w:highlight w:val="none"/>
        </w:rPr>
      </w:pPr>
      <w:r>
        <w:rPr>
          <w:rFonts w:ascii="Times New Roman" w:hAnsi="Times New Roman" w:eastAsia="Times New Roman"/>
          <w:i/>
          <w:sz w:val="26"/>
          <w:szCs w:val="26"/>
          <w:highlight w:val="none"/>
        </w:rPr>
      </w:r>
      <w:r>
        <w:rPr>
          <w:rFonts w:ascii="Times New Roman" w:hAnsi="Times New Roman" w:eastAsia="Times New Roman"/>
          <w:i/>
          <w:sz w:val="26"/>
          <w:szCs w:val="26"/>
          <w:highlight w:val="none"/>
        </w:rPr>
      </w:r>
      <w:r>
        <w:rPr>
          <w:rFonts w:ascii="Times New Roman" w:hAnsi="Times New Roman" w:eastAsia="Times New Roman"/>
          <w:i/>
          <w:sz w:val="26"/>
          <w:szCs w:val="26"/>
          <w:highlight w:val="none"/>
        </w:rPr>
      </w:r>
    </w:p>
    <w:p>
      <w:pPr>
        <w:numPr>
          <w:ilvl w:val="0"/>
          <w:numId w:val="1"/>
        </w:numPr>
        <w:ind w:left="1064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b/>
          <w:bCs/>
          <w:sz w:val="26"/>
          <w:szCs w:val="26"/>
          <w:highlight w:val="none"/>
        </w:rPr>
        <w:t xml:space="preserve">Общие технические требования к поставляемой продукции.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numPr>
          <w:ilvl w:val="1"/>
          <w:numId w:val="1"/>
        </w:num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Поставляемая продукция должна быть изготовлена в год поставки или предшествующий ему и быть ранее не использованной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. 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numPr>
          <w:ilvl w:val="1"/>
          <w:numId w:val="1"/>
        </w:num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Продукция должна соответствовать требованиям: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6"/>
          <w:szCs w:val="26"/>
          <w:highlight w:val="white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– 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Положения 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ПАО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 «Россети» 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«О единой технической полит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ике в электросетевом комплексе»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;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 </w:t>
      </w:r>
      <w:r>
        <w:rPr>
          <w:rFonts w:ascii="Times New Roman" w:hAnsi="Times New Roman" w:cs="Times New Roman"/>
          <w:sz w:val="26"/>
          <w:szCs w:val="26"/>
          <w:highlight w:val="white"/>
        </w:rPr>
      </w:r>
      <w:r>
        <w:rPr>
          <w:rFonts w:ascii="Times New Roman" w:hAnsi="Times New Roman" w:cs="Times New Roman"/>
          <w:sz w:val="26"/>
          <w:szCs w:val="26"/>
          <w:highlight w:val="white"/>
        </w:rPr>
      </w:r>
    </w:p>
    <w:p>
      <w:pPr>
        <w:contextualSpacing w:val="0"/>
        <w:ind w:left="0" w:right="0" w:firstLine="709"/>
        <w:jc w:val="both"/>
        <w:spacing w:after="0"/>
        <w:rPr>
          <w:rFonts w:ascii="Times New Roman" w:hAnsi="Times New Roman" w:cs="Times New Roman"/>
          <w:sz w:val="26"/>
          <w:szCs w:val="26"/>
          <w:highlight w:val="none"/>
        </w:rPr>
        <w:pBdr>
          <w:top w:val="none" w:color="000000" w:sz="4" w:space="0"/>
          <w:left w:val="none" w:color="000000" w:sz="4" w:space="3"/>
          <w:bottom w:val="none" w:color="000000" w:sz="4" w:space="0"/>
          <w:right w:val="none" w:color="000000" w:sz="4" w:space="0"/>
          <w:between w:val="none" w:color="000000" w:sz="4" w:space="0"/>
        </w:pBd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– ГОСТ 14695-80 «Подстанции трансформаторные комплектные мощностью от 25 до 2500 кВ·А на напряжение до 10 кВ. Общие технические условия»;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pStyle w:val="763"/>
        <w:numPr>
          <w:ilvl w:val="0"/>
          <w:numId w:val="12"/>
        </w:numPr>
        <w:contextualSpacing w:val="0"/>
        <w:ind w:left="0" w:right="0" w:firstLine="709"/>
        <w:jc w:val="both"/>
        <w:spacing w:after="0"/>
        <w:rPr>
          <w:rFonts w:ascii="Times New Roman" w:hAnsi="Times New Roman" w:cs="Times New Roman"/>
          <w:sz w:val="26"/>
          <w:szCs w:val="26"/>
          <w:highlight w:val="none"/>
        </w:rPr>
        <w:pBdr>
          <w:top w:val="none" w:color="000000" w:sz="4" w:space="0"/>
          <w:left w:val="none" w:color="000000" w:sz="4" w:space="3"/>
          <w:bottom w:val="none" w:color="000000" w:sz="4" w:space="0"/>
          <w:right w:val="none" w:color="000000" w:sz="4" w:space="0"/>
          <w:between w:val="none" w:color="000000" w:sz="4" w:space="0"/>
        </w:pBd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СТО 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34.01-3.2-011-2021 «Трансформаторы силовые распределительные 6-10 кВ мощностью   63-2500   кВА.   Требования   к   уровню   потерь   холостого   хода   и   короткого замыкания»;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contextualSpacing w:val="0"/>
        <w:ind w:left="0" w:right="0" w:firstLine="709"/>
        <w:jc w:val="both"/>
        <w:spacing w:after="0"/>
        <w:rPr>
          <w:rFonts w:ascii="Times New Roman" w:hAnsi="Times New Roman" w:cs="Times New Roman"/>
          <w:sz w:val="26"/>
          <w:szCs w:val="26"/>
          <w:highlight w:val="none"/>
        </w:rPr>
        <w:pBdr>
          <w:top w:val="none" w:color="000000" w:sz="4" w:space="0"/>
          <w:left w:val="none" w:color="000000" w:sz="4" w:space="3"/>
          <w:bottom w:val="none" w:color="000000" w:sz="4" w:space="0"/>
          <w:right w:val="none" w:color="000000" w:sz="4" w:space="0"/>
          <w:between w:val="none" w:color="000000" w:sz="4" w:space="0"/>
        </w:pBdr>
        <w:suppressLineNumbers w:val="0"/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– СТО 34.01-3.1-001-2016 «Комплектные трансформаторные подстанции 6-20/0,4 кв. Общие технические требования».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numPr>
          <w:ilvl w:val="1"/>
          <w:numId w:val="1"/>
        </w:num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Продукция должна иметь 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сертификаты/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декларации 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соответствия и протоколы испытаний, подтверждающие заявленные характеристики, сопровождаться документацией по монтажу, наладке и эксплуатации.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numPr>
          <w:ilvl w:val="1"/>
          <w:numId w:val="1"/>
        </w:num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Вся сопроводительная документация должна быть составлена на русском языке и передана заказчику вместе с поставляемой продукцией.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numPr>
          <w:ilvl w:val="1"/>
          <w:numId w:val="1"/>
        </w:num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Поставляемое оборудование должно быть рассчитано на эксплуатацию в непрерывном режиме круглосуточно в заданных условиях в течение установленного срока 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службы.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numPr>
          <w:ilvl w:val="1"/>
          <w:numId w:val="1"/>
        </w:num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Маркировка оборудования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numPr>
          <w:ilvl w:val="1"/>
          <w:numId w:val="1"/>
        </w:num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Наличие сервисного центра предприятия-производителя в РФ.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numPr>
          <w:ilvl w:val="1"/>
          <w:numId w:val="1"/>
        </w:num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Наличие типовых технических решений по монтажу КТП, в том числе столбового исполнения.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numPr>
          <w:ilvl w:val="1"/>
          <w:numId w:val="1"/>
        </w:num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Характеристики и требования к поставляемому оборуд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ованию представлены в приложени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и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№ 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2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к настоящему техническому заданию. 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numPr>
          <w:ilvl w:val="1"/>
          <w:numId w:val="1"/>
        </w:numPr>
        <w:ind w:left="0" w:righ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Предлагаемые к поставке материалы, изделия, ко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нструкций и оборудование должны 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соответствовать требованиям приложени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й 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и опросных листов 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к настоящему ТЗ и действующим в РФ нормативным документам.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left="1429" w:right="0" w:firstLine="0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numPr>
          <w:ilvl w:val="0"/>
          <w:numId w:val="1"/>
        </w:numPr>
        <w:ind w:left="0" w:righ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/>
          <w:b/>
          <w:color w:val="000000"/>
          <w:sz w:val="26"/>
          <w:szCs w:val="26"/>
          <w:highlight w:val="none"/>
        </w:rPr>
        <w:t xml:space="preserve">Требования к объему документации, предоставляемой участником закупок для оценки предложения по</w:t>
      </w:r>
      <w:r>
        <w:rPr>
          <w:rFonts w:ascii="Times New Roman" w:hAnsi="Times New Roman"/>
          <w:b/>
          <w:color w:val="000000"/>
          <w:sz w:val="26"/>
          <w:szCs w:val="26"/>
          <w:highlight w:val="none"/>
        </w:rPr>
        <w:t xml:space="preserve"> лоту. 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contextualSpacing w:val="0"/>
        <w:ind w:firstLine="709"/>
        <w:jc w:val="both"/>
        <w:keepLines w:val="0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  <w:suppressLineNumbers w:val="0"/>
      </w:pPr>
      <w:r>
        <w:rPr>
          <w:rFonts w:ascii="Times New Roman" w:hAnsi="Times New Roman" w:eastAsia="Times New Roman"/>
          <w:sz w:val="26"/>
          <w:szCs w:val="26"/>
          <w:highlight w:val="none"/>
          <w:lang w:eastAsia="ru-RU"/>
        </w:rPr>
        <w:t xml:space="preserve">Участник обязан предоставить следующие документы, подтверждающие соответствие продукции установленным требованиям: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numPr>
          <w:ilvl w:val="1"/>
          <w:numId w:val="1"/>
        </w:numPr>
        <w:ind w:left="0" w:righ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  <w:lang w:eastAsia="ru-RU"/>
        </w:rPr>
        <w:t xml:space="preserve">Спецификация основных комплектующих оборудования (трансформаторы, разъединители, автоматические выключатели, выключатели нагрузки и т.д.) с указанием производителей, а также приложением сертификатов/деклараций соответствия на них;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numPr>
          <w:ilvl w:val="1"/>
          <w:numId w:val="1"/>
        </w:numPr>
        <w:ind w:left="0" w:righ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  <w:lang w:eastAsia="ru-RU"/>
        </w:rPr>
        <w:t xml:space="preserve">Документальное подтверждение наличия сервисного центра в РФ;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numPr>
          <w:ilvl w:val="1"/>
          <w:numId w:val="1"/>
        </w:numPr>
        <w:ind w:left="0" w:righ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  <w:lang w:eastAsia="ru-RU"/>
        </w:rPr>
        <w:t xml:space="preserve">Перечень рекомендуемого комплекта запасных частей, расходных материалов и принадлежностей (ЗИП), включенных в стоимость заявки/предложения участника;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numPr>
          <w:ilvl w:val="1"/>
          <w:numId w:val="1"/>
        </w:numPr>
        <w:ind w:left="0" w:righ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  <w:lang w:eastAsia="ru-RU"/>
        </w:rPr>
        <w:t xml:space="preserve">Свидетельства об утверждении типа средств измерений на измерительные трансформаторы и другие средства измерения.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numPr>
          <w:ilvl w:val="1"/>
          <w:numId w:val="1"/>
        </w:numPr>
        <w:ind w:left="0" w:righ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  <w:lang w:eastAsia="ru-RU"/>
        </w:rPr>
        <w:t xml:space="preserve">Документация на систему телемеханики и АИИС КУЭ включая: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  <w:lang w:eastAsia="ru-RU"/>
        </w:rPr>
        <w:t xml:space="preserve">- конструкторскую документацию на совмещенный шкаф телемеханики и АИИС КУЭ; 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  <w:lang w:eastAsia="ru-RU"/>
        </w:rPr>
        <w:t xml:space="preserve">- спецификацию оборудования шкафа;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  <w:lang w:eastAsia="ru-RU"/>
        </w:rPr>
        <w:t xml:space="preserve">-спецификацию кабельной продукции оборудования и материалов, монтируемых за пределами шкафа;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  <w:lang w:eastAsia="ru-RU"/>
        </w:rPr>
        <w:t xml:space="preserve">- схему подключения цепей питания, телесигнализации и измерения к основному оборудованию;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  <w:lang w:eastAsia="ru-RU"/>
        </w:rPr>
        <w:t xml:space="preserve">- план размещения шкафа и прокладки кабельной продукции на КТП;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  <w:lang w:eastAsia="ru-RU"/>
        </w:rPr>
        <w:t xml:space="preserve">- чертеж монтажа шкафа и оборудования (датчики ОПС, открытия дверей, промежуточные реле) на КТП;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  <w:lang w:eastAsia="ru-RU"/>
        </w:rPr>
        <w:t xml:space="preserve">- кабельный журнал.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left="0" w:righ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  <w:lang w:eastAsia="ru-RU"/>
        </w:rPr>
        <w:t xml:space="preserve">В случае использования реле контроля напряжения, для косвенного определения положения выключателя отходящей линии 0,4 кВ, необходимо предоставить согласованный с производителем выключателя способ подключения контрольных цепей к выключателю.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left="1429" w:right="0" w:firstLine="0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numPr>
          <w:ilvl w:val="0"/>
          <w:numId w:val="1"/>
        </w:numPr>
        <w:ind w:left="0" w:righ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b/>
          <w:sz w:val="26"/>
          <w:szCs w:val="26"/>
          <w:highlight w:val="none"/>
        </w:rPr>
        <w:t xml:space="preserve">Комплектность запасных частей, расходных материалов и принадлежностей. Состав технической и эксплуатационной документации.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numPr>
          <w:ilvl w:val="1"/>
          <w:numId w:val="1"/>
        </w:numPr>
        <w:ind w:left="0" w:righ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По всем видам продукции 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поставщик по договору 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должен предоставить полный комплект технической и эксплу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numPr>
          <w:ilvl w:val="1"/>
          <w:numId w:val="1"/>
        </w:numPr>
        <w:ind w:left="0" w:righ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Участник должен предоставить полный комплект ЗИП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. Объем ЗИП должен гарантировать выполнение требований по готовности и р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емонтопригодности продукции в течение гарантийного срока эксплуатации.</w:t>
      </w:r>
      <w:r>
        <w:rPr>
          <w:rFonts w:ascii="Times New Roman" w:hAnsi="Times New Roman" w:eastAsia="Times New Roman"/>
          <w:sz w:val="26"/>
          <w:szCs w:val="26"/>
          <w:highlight w:val="none"/>
          <w:lang w:val="en-US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В состав принадлежностей должны входит специализированные проверочные устройства и инстру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мент, необходимые для монтажа, наладки, пуска, технического обслуживания и ремонта оборудования.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left="1429" w:right="0" w:firstLine="0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numPr>
          <w:ilvl w:val="0"/>
          <w:numId w:val="1"/>
        </w:numPr>
        <w:ind w:left="0" w:righ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b/>
          <w:sz w:val="26"/>
          <w:szCs w:val="26"/>
          <w:highlight w:val="none"/>
        </w:rPr>
        <w:t xml:space="preserve">Гарантийные обязательства.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left="0" w:righ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left="0" w:righ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left="0" w:righ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В случае выхода из строя оборудования и материалов участник обязан направить своего представителя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left="709" w:right="0" w:firstLine="0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numPr>
          <w:ilvl w:val="0"/>
          <w:numId w:val="1"/>
        </w:numPr>
        <w:ind w:left="0" w:righ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b/>
          <w:bCs/>
          <w:sz w:val="26"/>
          <w:szCs w:val="26"/>
          <w:highlight w:val="none"/>
          <w:lang w:eastAsia="ru-RU"/>
        </w:rPr>
        <w:t xml:space="preserve">Правила приемки продукции.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При приемке продукции осуществляется: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– внешний осмотр тары и упаковки: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left="7080" w:firstLine="708"/>
        <w:widowControl w:val="off"/>
        <w:rPr>
          <w:rFonts w:ascii="Times New Roman" w:hAnsi="Times New Roman"/>
          <w:highlight w:val="none"/>
        </w:rPr>
      </w:pP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  <w:t xml:space="preserve">№ п/п</w:t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  <w:t xml:space="preserve">Дата</w:t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  <w:tc>
          <w:tcPr>
            <w:tcW w:w="4253" w:type="dxa"/>
            <w:vAlign w:val="center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  <w:t xml:space="preserve">Должность</w:t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  <w:t xml:space="preserve">Подпись</w:t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  <w:t xml:space="preserve">ФИО</w:t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  <w:t xml:space="preserve">1</w:t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  <w:tc>
          <w:tcPr>
            <w:tcW w:w="4253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  <w:t xml:space="preserve">Руководитель проекта</w:t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  <w14:ligatures w14:val="non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  <w14:ligatures w14:val="none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  <w:t xml:space="preserve">Назарова Н.В.</w:t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  <w14:ligatures w14:val="none"/>
              </w:rPr>
            </w:r>
          </w:p>
        </w:tc>
      </w:tr>
      <w:tr>
        <w:tblPrEx/>
        <w:trPr/>
        <w:tc>
          <w:tcPr>
            <w:tcW w:w="675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  <w:tc>
          <w:tcPr>
            <w:tcW w:w="425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  <w:t xml:space="preserve">Начальник УИиКС</w:t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  <w:t xml:space="preserve">Шатохин Д.В.</w:t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  <w:tc>
          <w:tcPr>
            <w:tcW w:w="4253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  <w:t xml:space="preserve">Заместитель главного инженера по эксплуатации - начальник УТОиРОЭХ</w:t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  <w:t xml:space="preserve">Князев В.В.</w:t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  <w:t xml:space="preserve">3</w:t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  <w:tc>
          <w:tcPr>
            <w:tcW w:w="4253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  <w:t xml:space="preserve">Начальник ОЛи МТО</w:t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  <w:t xml:space="preserve">Шмидгаль А.Ю</w:t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</w:tr>
    </w:tbl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Приложение № 2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техническому заданию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widowControl w:val="off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</w:p>
    <w:p>
      <w:pPr>
        <w:jc w:val="center"/>
        <w:widowControl w:val="off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widowControl w:val="off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Технические характеристики и требования к КТП 250 </w:t>
      </w:r>
      <w:r>
        <w:rPr>
          <w:rFonts w:ascii="Times New Roman" w:hAnsi="Times New Roman"/>
          <w:b/>
        </w:rPr>
        <w:t xml:space="preserve">кВА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tbl>
      <w:tblPr>
        <w:tblW w:w="10710" w:type="dxa"/>
        <w:tblInd w:w="-11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212"/>
        <w:gridCol w:w="140"/>
        <w:gridCol w:w="1562"/>
        <w:gridCol w:w="141"/>
        <w:gridCol w:w="1278"/>
        <w:gridCol w:w="1560"/>
      </w:tblGrid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п/п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Технические характеристики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(наименование параметра)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Код параметра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(не подлежит изменению)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46"/>
        </w:trPr>
        <w:tc>
          <w:tcPr>
            <w:gridSpan w:val="6"/>
            <w:tcW w:w="9150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  <w:outlineLvl w:val="3"/>
            </w:pPr>
            <w:r>
              <w:rPr>
                <w:rFonts w:ascii="Times New Roman" w:hAnsi="Times New Roman"/>
                <w:b/>
                <w:bCs/>
              </w:rPr>
              <w:t xml:space="preserve">1.</w:t>
            </w:r>
            <w:r>
              <w:rPr>
                <w:rFonts w:ascii="Times New Roman" w:hAnsi="Times New Roman"/>
                <w:b/>
                <w:bCs/>
              </w:rPr>
              <w:tab/>
              <w:t xml:space="preserve">Производитель: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/>
                <w:bCs/>
              </w:rPr>
              <w:outlineLvl w:val="3"/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43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Cs/>
              </w:rPr>
              <w:outlineLvl w:val="3"/>
            </w:pPr>
            <w:r>
              <w:rPr>
                <w:rFonts w:ascii="Times New Roman" w:hAnsi="Times New Roman"/>
                <w:bCs/>
              </w:rPr>
              <w:t xml:space="preserve">1.1.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pStyle w:val="763"/>
              <w:numPr>
                <w:ilvl w:val="0"/>
                <w:numId w:val="15"/>
              </w:numPr>
              <w:ind w:left="142" w:right="0" w:firstLine="0"/>
              <w:jc w:val="left"/>
              <w:widowControl w:val="off"/>
              <w:rPr>
                <w:rFonts w:ascii="Times New Roman" w:hAnsi="Times New Roman"/>
                <w:bCs/>
              </w:rPr>
              <w:outlineLvl w:val="3"/>
            </w:pPr>
            <w:r>
              <w:rPr>
                <w:rFonts w:ascii="Times New Roman" w:hAnsi="Times New Roman"/>
                <w:bCs/>
              </w:rPr>
              <w:t xml:space="preserve">КТП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*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ZPM_ZAVOD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343"/>
        </w:trPr>
        <w:tc>
          <w:tcPr>
            <w:tcW w:w="8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Cs/>
              </w:rPr>
              <w:outlineLvl w:val="3"/>
            </w:pPr>
            <w:r>
              <w:rPr>
                <w:rFonts w:ascii="Times New Roman" w:hAnsi="Times New Roman"/>
                <w:bCs/>
                <w:lang w:val="en-US"/>
              </w:rPr>
              <w:t xml:space="preserve">1</w:t>
            </w:r>
            <w:r>
              <w:rPr>
                <w:rFonts w:ascii="Times New Roman" w:hAnsi="Times New Roman"/>
                <w:bCs/>
                <w:lang w:val="ru-RU"/>
              </w:rPr>
              <w:t xml:space="preserve">.2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tcW w:w="5212" w:type="dxa"/>
            <w:vAlign w:val="center"/>
            <w:vMerge w:val="restart"/>
            <w:textDirection w:val="lrTb"/>
            <w:noWrap w:val="false"/>
          </w:tcPr>
          <w:p>
            <w:pPr>
              <w:pStyle w:val="763"/>
              <w:numPr>
                <w:ilvl w:val="0"/>
                <w:numId w:val="14"/>
              </w:numPr>
              <w:ind w:left="142" w:right="0" w:firstLine="0"/>
              <w:jc w:val="left"/>
              <w:widowControl w:val="off"/>
              <w:rPr>
                <w:rFonts w:ascii="Times New Roman" w:hAnsi="Times New Roman"/>
                <w:bCs/>
              </w:rPr>
              <w:outlineLvl w:val="3"/>
            </w:pPr>
            <w:r>
              <w:rPr>
                <w:rFonts w:ascii="Times New Roman" w:hAnsi="Times New Roman"/>
                <w:bCs/>
              </w:rPr>
              <w:t xml:space="preserve">Силовой трансформатор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gridSpan w:val="2"/>
            <w:tcW w:w="170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*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vMerge w:val="restart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ZPM_ZAVOD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46"/>
        </w:trPr>
        <w:tc>
          <w:tcPr>
            <w:gridSpan w:val="6"/>
            <w:tcW w:w="9150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  <w:outlineLvl w:val="3"/>
            </w:pPr>
            <w:r>
              <w:rPr>
                <w:rFonts w:ascii="Times New Roman" w:hAnsi="Times New Roman"/>
                <w:b/>
                <w:bCs/>
              </w:rPr>
              <w:t xml:space="preserve">2. Заводской тип (марка)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/>
                <w:bCs/>
              </w:rPr>
              <w:outlineLvl w:val="3"/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34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Cs/>
              </w:rPr>
              <w:outlineLvl w:val="3"/>
            </w:pPr>
            <w:r>
              <w:rPr>
                <w:rFonts w:ascii="Times New Roman" w:hAnsi="Times New Roman"/>
                <w:bCs/>
              </w:rPr>
              <w:t xml:space="preserve">2.1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Cs/>
              </w:rPr>
              <w:outlineLvl w:val="3"/>
            </w:pPr>
            <w:r>
              <w:rPr>
                <w:rFonts w:ascii="Times New Roman" w:hAnsi="Times New Roman"/>
                <w:bCs/>
              </w:rPr>
              <w:t xml:space="preserve">Заводской тип (марка) КТП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*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46"/>
        </w:trPr>
        <w:tc>
          <w:tcPr>
            <w:gridSpan w:val="6"/>
            <w:tcW w:w="9150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  <w:outlineLvl w:val="3"/>
            </w:pPr>
            <w:r>
              <w:rPr>
                <w:rFonts w:ascii="Times New Roman" w:hAnsi="Times New Roman"/>
                <w:b/>
                <w:bCs/>
              </w:rPr>
              <w:t xml:space="preserve">3. Основные требования к КТП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/>
                <w:bCs/>
              </w:rPr>
              <w:outlineLvl w:val="3"/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trHeight w:val="514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3.1.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Cs/>
              </w:rPr>
              <w:outlineLvl w:val="3"/>
            </w:pPr>
            <w:r>
              <w:rPr>
                <w:rFonts w:ascii="Times New Roman" w:hAnsi="Times New Roman"/>
                <w:bCs/>
              </w:rPr>
              <w:t xml:space="preserve">Конструктивное исполнение ТП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Cs/>
              </w:rPr>
              <w:outlineLvl w:val="3"/>
            </w:pPr>
            <w:r>
              <w:rPr>
                <w:rFonts w:ascii="Times New Roman" w:hAnsi="Times New Roman"/>
                <w:bCs/>
              </w:rPr>
              <w:t xml:space="preserve">Тупиковая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ZPM_KONSTRUKCIYA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3.2.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Cs/>
              </w:rPr>
              <w:outlineLvl w:val="3"/>
            </w:pPr>
            <w:r>
              <w:rPr>
                <w:rFonts w:ascii="Times New Roman" w:hAnsi="Times New Roman"/>
                <w:bCs/>
              </w:rPr>
              <w:t xml:space="preserve">Габаритные размеры (Д×Ш), мм, не более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3000х2200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ZPM_RAZMER_GABARIT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3.3.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Cs/>
              </w:rPr>
              <w:outlineLvl w:val="3"/>
            </w:pPr>
            <w:r>
              <w:rPr>
                <w:rFonts w:ascii="Times New Roman" w:hAnsi="Times New Roman"/>
                <w:bCs/>
              </w:rPr>
              <w:t xml:space="preserve">Антикоррозийное покрытие металлоконструкции обеспечивающее защиту на весь срок службы, (да, нет)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bCs/>
              </w:rPr>
              <w:outlineLvl w:val="3"/>
            </w:pPr>
            <w:r>
              <w:rPr>
                <w:rFonts w:ascii="Times New Roman" w:hAnsi="Times New Roman"/>
                <w:bCs/>
              </w:rPr>
              <w:t xml:space="preserve">Да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3.4.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Cs/>
              </w:rPr>
              <w:outlineLvl w:val="3"/>
            </w:pPr>
            <w:r>
              <w:rPr>
                <w:rFonts w:ascii="Times New Roman" w:hAnsi="Times New Roman"/>
                <w:bCs/>
              </w:rPr>
              <w:t xml:space="preserve">Каждый трансформатор устанавливается в отдельной камере, (да, нет)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bCs/>
              </w:rPr>
              <w:outlineLvl w:val="3"/>
            </w:pPr>
            <w:r>
              <w:rPr>
                <w:rFonts w:ascii="Times New Roman" w:hAnsi="Times New Roman"/>
                <w:bCs/>
              </w:rPr>
              <w:t xml:space="preserve">Да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3.5.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Cs/>
              </w:rPr>
              <w:outlineLvl w:val="3"/>
            </w:pPr>
            <w:r>
              <w:rPr>
                <w:rFonts w:ascii="Times New Roman" w:hAnsi="Times New Roman"/>
                <w:bCs/>
              </w:rPr>
              <w:t xml:space="preserve">Наличие в трансформаторных отсеках вентиляционных жалюзийных решеток с обеих сторон наружу, (да, нет)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bCs/>
              </w:rPr>
              <w:outlineLvl w:val="3"/>
            </w:pPr>
            <w:r>
              <w:rPr>
                <w:rFonts w:ascii="Times New Roman" w:hAnsi="Times New Roman"/>
                <w:bCs/>
              </w:rPr>
              <w:t xml:space="preserve">Да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3.6.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Cs/>
              </w:rPr>
              <w:outlineLvl w:val="3"/>
            </w:pPr>
            <w:r>
              <w:rPr>
                <w:rFonts w:ascii="Times New Roman" w:hAnsi="Times New Roman"/>
                <w:bCs/>
              </w:rPr>
              <w:t xml:space="preserve">Ошиновка главных цепей </w:t>
            </w:r>
            <w:r>
              <w:rPr>
                <w:rFonts w:ascii="Times New Roman" w:hAnsi="Times New Roman"/>
                <w:bCs/>
              </w:rPr>
              <w:t xml:space="preserve">огрунтована</w:t>
            </w:r>
            <w:r>
              <w:rPr>
                <w:rFonts w:ascii="Times New Roman" w:hAnsi="Times New Roman"/>
                <w:bCs/>
              </w:rPr>
              <w:t xml:space="preserve"> и окрашена, выполнена расцветка фаз в соответствии с НТД, (да, нет)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bCs/>
              </w:rPr>
              <w:outlineLvl w:val="3"/>
            </w:pPr>
            <w:r>
              <w:rPr>
                <w:rFonts w:ascii="Times New Roman" w:hAnsi="Times New Roman"/>
                <w:bCs/>
              </w:rPr>
              <w:t xml:space="preserve">Да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3.7.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Cs/>
              </w:rPr>
              <w:outlineLvl w:val="3"/>
            </w:pPr>
            <w:r>
              <w:rPr>
                <w:rFonts w:ascii="Times New Roman" w:hAnsi="Times New Roman"/>
                <w:bCs/>
              </w:rPr>
              <w:t xml:space="preserve">Контактные соединения имеют луженую поверхность, (да, нет)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bCs/>
              </w:rPr>
              <w:outlineLvl w:val="3"/>
            </w:pPr>
            <w:r>
              <w:rPr>
                <w:rFonts w:ascii="Times New Roman" w:hAnsi="Times New Roman"/>
                <w:bCs/>
              </w:rPr>
              <w:t xml:space="preserve">Да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3.8.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Cs/>
              </w:rPr>
              <w:outlineLvl w:val="3"/>
            </w:pPr>
            <w:r>
              <w:rPr>
                <w:rFonts w:ascii="Times New Roman" w:hAnsi="Times New Roman"/>
                <w:bCs/>
              </w:rPr>
              <w:t xml:space="preserve">КТП оснащены всеми видами защит: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  <w:p>
            <w:pPr>
              <w:widowControl w:val="off"/>
              <w:rPr>
                <w:rFonts w:ascii="Times New Roman" w:hAnsi="Times New Roman"/>
                <w:bCs/>
              </w:rPr>
              <w:outlineLvl w:val="3"/>
            </w:pPr>
            <w:r>
              <w:rPr>
                <w:rFonts w:ascii="Times New Roman" w:hAnsi="Times New Roman"/>
                <w:bCs/>
              </w:rPr>
              <w:t xml:space="preserve">- от атмосферных и коммутационных перенапряжений, (да, нет);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  <w:p>
            <w:pPr>
              <w:widowControl w:val="off"/>
              <w:rPr>
                <w:rFonts w:ascii="Times New Roman" w:hAnsi="Times New Roman"/>
                <w:bCs/>
              </w:rPr>
              <w:outlineLvl w:val="3"/>
            </w:pPr>
            <w:r>
              <w:rPr>
                <w:rFonts w:ascii="Times New Roman" w:hAnsi="Times New Roman"/>
                <w:bCs/>
              </w:rPr>
              <w:t xml:space="preserve">- от перегрузки и междуфазных КЗ, (да, нет)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bCs/>
              </w:rPr>
              <w:outlineLvl w:val="3"/>
            </w:pP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  <w:p>
            <w:pPr>
              <w:jc w:val="center"/>
              <w:keepNext/>
              <w:rPr>
                <w:rFonts w:ascii="Times New Roman" w:hAnsi="Times New Roman"/>
                <w:bCs/>
              </w:rPr>
              <w:outlineLvl w:val="3"/>
            </w:pPr>
            <w:r>
              <w:rPr>
                <w:rFonts w:ascii="Times New Roman" w:hAnsi="Times New Roman"/>
                <w:bCs/>
              </w:rPr>
              <w:t xml:space="preserve">Да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  <w:p>
            <w:pPr>
              <w:jc w:val="center"/>
              <w:keepNext/>
              <w:rPr>
                <w:rFonts w:ascii="Times New Roman" w:hAnsi="Times New Roman"/>
                <w:bCs/>
              </w:rPr>
              <w:outlineLvl w:val="3"/>
            </w:pPr>
            <w:r>
              <w:rPr>
                <w:rFonts w:ascii="Times New Roman" w:hAnsi="Times New Roman"/>
                <w:bCs/>
              </w:rPr>
              <w:t xml:space="preserve">Да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3.9.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Cs/>
              </w:rPr>
              <w:outlineLvl w:val="3"/>
            </w:pPr>
            <w:r>
              <w:rPr>
                <w:rFonts w:ascii="Times New Roman" w:hAnsi="Times New Roman"/>
                <w:bCs/>
              </w:rPr>
              <w:t xml:space="preserve">Монтаж </w:t>
            </w:r>
            <w:r>
              <w:rPr>
                <w:rFonts w:ascii="Times New Roman" w:hAnsi="Times New Roman"/>
                <w:bCs/>
              </w:rPr>
              <w:t xml:space="preserve">межшкафных</w:t>
            </w:r>
            <w:r>
              <w:rPr>
                <w:rFonts w:ascii="Times New Roman" w:hAnsi="Times New Roman"/>
                <w:bCs/>
              </w:rPr>
              <w:t xml:space="preserve"> соединений выполняется на заводе изготовителе, (да, нет)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bCs/>
              </w:rPr>
              <w:outlineLvl w:val="3"/>
            </w:pPr>
            <w:r>
              <w:rPr>
                <w:rFonts w:ascii="Times New Roman" w:hAnsi="Times New Roman"/>
                <w:bCs/>
              </w:rPr>
              <w:t xml:space="preserve">Да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3.10.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Cs/>
              </w:rPr>
              <w:outlineLvl w:val="3"/>
            </w:pPr>
            <w:r>
              <w:rPr>
                <w:rFonts w:ascii="Times New Roman" w:hAnsi="Times New Roman"/>
                <w:bCs/>
              </w:rPr>
              <w:t xml:space="preserve">Окраска металлоконструкций и корпуса КТП полиэфирными порошковыми атмосферостойкими красками в фирменный цвет (Рис. 1), (да, нет);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  <w:p>
            <w:pPr>
              <w:widowControl w:val="off"/>
              <w:rPr>
                <w:rFonts w:ascii="Times New Roman" w:hAnsi="Times New Roman"/>
              </w:rPr>
              <w:outlineLvl w:val="3"/>
            </w:pPr>
            <w:r>
              <w:rPr>
                <w:rFonts w:ascii="Times New Roman" w:hAnsi="Times New Roman"/>
              </w:rPr>
              <w:t xml:space="preserve">Логотип Покупателя наносится в представленной пропорции (Рис. 2</w:t>
            </w:r>
            <w:r>
              <w:rPr>
                <w:rFonts w:ascii="Times New Roman" w:hAnsi="Times New Roman"/>
              </w:rPr>
              <w:t xml:space="preserve">) ,</w:t>
            </w:r>
            <w:r>
              <w:rPr>
                <w:rFonts w:ascii="Times New Roman" w:hAnsi="Times New Roman"/>
              </w:rPr>
              <w:t xml:space="preserve"> (да, нет);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widowControl w:val="off"/>
              <w:rPr>
                <w:rFonts w:ascii="Times New Roman" w:hAnsi="Times New Roman"/>
              </w:rPr>
              <w:outlineLvl w:val="3"/>
            </w:pPr>
            <w:r>
              <w:rPr>
                <w:rFonts w:ascii="Times New Roman" w:hAnsi="Times New Roman"/>
                <w:bCs/>
              </w:rPr>
              <w:t xml:space="preserve">Оформление КТП в представленном формате</w:t>
            </w:r>
            <w:r>
              <w:rPr>
                <w:rFonts w:ascii="Times New Roman" w:hAnsi="Times New Roman"/>
              </w:rPr>
              <w:t xml:space="preserve"> (Рис. 3,4), (да, нет).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widowControl w:val="off"/>
              <w:rPr>
                <w:rFonts w:ascii="Times New Roman" w:hAnsi="Times New Roman"/>
              </w:rPr>
              <w:outlineLvl w:val="3"/>
            </w:pPr>
            <w:r>
              <w:rPr>
                <w:rFonts w:ascii="Times New Roman" w:hAnsi="Times New Roman"/>
              </w:rPr>
              <w:t xml:space="preserve">Знаки безопасности в соответствии с Рисунком 5, (да, нет).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textDirection w:val="lrTb"/>
            <w:noWrap w:val="false"/>
          </w:tcPr>
          <w:p>
            <w:pPr>
              <w:keepNext/>
              <w:widowControl w:val="off"/>
              <w:rPr>
                <w:rFonts w:ascii="Times New Roman" w:hAnsi="Times New Roman"/>
                <w:bCs/>
              </w:rPr>
              <w:outlineLvl w:val="3"/>
            </w:pP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  <w:p>
            <w:pPr>
              <w:jc w:val="center"/>
              <w:keepNext/>
              <w:widowControl w:val="off"/>
              <w:rPr>
                <w:rFonts w:ascii="Times New Roman" w:hAnsi="Times New Roman"/>
                <w:bCs/>
              </w:rPr>
              <w:outlineLvl w:val="3"/>
            </w:pPr>
            <w:r>
              <w:rPr>
                <w:rFonts w:ascii="Times New Roman" w:hAnsi="Times New Roman"/>
                <w:bCs/>
              </w:rPr>
              <w:t xml:space="preserve">Нет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  <w:p>
            <w:pPr>
              <w:jc w:val="center"/>
              <w:keepNext/>
              <w:widowControl w:val="off"/>
              <w:rPr>
                <w:rFonts w:ascii="Times New Roman" w:hAnsi="Times New Roman"/>
                <w:bCs/>
              </w:rPr>
              <w:outlineLvl w:val="3"/>
            </w:pPr>
            <w:r>
              <w:rPr>
                <w:rFonts w:ascii="Times New Roman" w:hAnsi="Times New Roman"/>
                <w:bCs/>
              </w:rPr>
              <w:t xml:space="preserve">Нет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  <w:p>
            <w:pPr>
              <w:jc w:val="center"/>
              <w:keepNext/>
              <w:widowControl w:val="off"/>
              <w:rPr>
                <w:rFonts w:ascii="Times New Roman" w:hAnsi="Times New Roman"/>
              </w:rPr>
              <w:outlineLvl w:val="3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keepNext/>
              <w:widowControl w:val="off"/>
              <w:rPr>
                <w:rFonts w:ascii="Times New Roman" w:hAnsi="Times New Roman"/>
                <w:bCs/>
              </w:rPr>
              <w:outlineLvl w:val="3"/>
            </w:pPr>
            <w:r>
              <w:rPr>
                <w:rFonts w:ascii="Times New Roman" w:hAnsi="Times New Roman"/>
                <w:bCs/>
              </w:rPr>
              <w:t xml:space="preserve">Нет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  <w:p>
            <w:pPr>
              <w:jc w:val="center"/>
              <w:keepNext/>
              <w:widowControl w:val="off"/>
              <w:rPr>
                <w:rFonts w:ascii="Times New Roman" w:hAnsi="Times New Roman"/>
              </w:rPr>
              <w:outlineLvl w:val="3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keepNext/>
              <w:widowControl w:val="off"/>
              <w:rPr>
                <w:rFonts w:ascii="Times New Roman" w:hAnsi="Times New Roman"/>
              </w:rPr>
              <w:outlineLvl w:val="3"/>
            </w:pPr>
            <w:r>
              <w:rPr>
                <w:rFonts w:ascii="Times New Roman" w:hAnsi="Times New Roman"/>
                <w:bCs/>
              </w:rPr>
              <w:t xml:space="preserve">Да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3.11.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Cs/>
              </w:rPr>
              <w:outlineLvl w:val="3"/>
            </w:pPr>
            <w:r>
              <w:rPr>
                <w:rFonts w:ascii="Times New Roman" w:hAnsi="Times New Roman"/>
                <w:bCs/>
              </w:rPr>
              <w:t xml:space="preserve">Двери КТП должны иметь резиновые уплотнители, степень защиты не ниже IP34, (да, нет)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  <w:bCs/>
              </w:rPr>
              <w:outlineLvl w:val="3"/>
            </w:pPr>
            <w:r>
              <w:rPr>
                <w:rFonts w:ascii="Times New Roman" w:hAnsi="Times New Roman"/>
                <w:bCs/>
              </w:rPr>
              <w:t xml:space="preserve">Да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3.12.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Cs/>
              </w:rPr>
              <w:outlineLvl w:val="3"/>
            </w:pPr>
            <w:r>
              <w:rPr>
                <w:rFonts w:ascii="Times New Roman" w:hAnsi="Times New Roman"/>
                <w:bCs/>
              </w:rPr>
              <w:t xml:space="preserve">Наличие запирающих устройств дверей внутренней установки с универсальным ключом, предупреждающих об опасности знаков, (да, нет)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  <w:bCs/>
              </w:rPr>
              <w:outlineLvl w:val="3"/>
            </w:pPr>
            <w:r>
              <w:rPr>
                <w:rFonts w:ascii="Times New Roman" w:hAnsi="Times New Roman"/>
                <w:bCs/>
              </w:rPr>
              <w:t xml:space="preserve">Да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3.13.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Cs/>
              </w:rPr>
              <w:outlineLvl w:val="3"/>
            </w:pPr>
            <w:r>
              <w:rPr>
                <w:rFonts w:ascii="Times New Roman" w:hAnsi="Times New Roman"/>
                <w:bCs/>
              </w:rPr>
              <w:t xml:space="preserve">Сплошной металлический пол внутри КТП, включая трансформаторные отсеки, (да, нет)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  <w:bCs/>
              </w:rPr>
              <w:outlineLvl w:val="3"/>
            </w:pPr>
            <w:r>
              <w:rPr>
                <w:rFonts w:ascii="Times New Roman" w:hAnsi="Times New Roman"/>
                <w:bCs/>
              </w:rPr>
              <w:t xml:space="preserve">Да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3.14.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Cs/>
              </w:rPr>
              <w:outlineLvl w:val="3"/>
            </w:pPr>
            <w:r>
              <w:rPr>
                <w:rFonts w:ascii="Times New Roman" w:hAnsi="Times New Roman"/>
                <w:bCs/>
              </w:rPr>
              <w:t xml:space="preserve">Листовой металл на всех элементах КТП толщиной не менее 2 мм, (да, нет)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  <w:bCs/>
              </w:rPr>
              <w:outlineLvl w:val="3"/>
            </w:pPr>
            <w:r>
              <w:rPr>
                <w:rFonts w:ascii="Times New Roman" w:hAnsi="Times New Roman"/>
                <w:bCs/>
              </w:rPr>
              <w:t xml:space="preserve">Да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gridSpan w:val="6"/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4. </w:t>
            </w:r>
            <w:r>
              <w:rPr>
                <w:rFonts w:ascii="Times New Roman" w:hAnsi="Times New Roman"/>
                <w:b/>
                <w:bCs/>
              </w:rPr>
              <w:t xml:space="preserve">Номинальные значения климатических факторов внешней среды по ГОСТ 15150-69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4.1.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Климатическое исполнение (У, ХЛ) и категория размещения (по ГОСТ 15150-69)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УХЛ1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ZPM_KLIMAT_RAZM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4.2.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Верхнее рабочее значение температуры окружающего воздуха, не ниже, °С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+40 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4.3.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Нижнее рабочее значение температуры окружающего воздуха, не выше, °С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-60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79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4.4.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Толщина стенки гололеда, не менее, мм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79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4.5.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Допустимая скорость ветра при отсутствии </w:t>
            </w:r>
            <w:r>
              <w:rPr>
                <w:rFonts w:ascii="Times New Roman" w:hAnsi="Times New Roman"/>
              </w:rPr>
              <w:t xml:space="preserve">гололеда, не менее, м/с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36</w:t>
            </w:r>
            <w:r>
              <w:rPr>
                <w:rFonts w:ascii="Times New Roman" w:hAnsi="Times New Roman"/>
                <w:lang w:val="en-US"/>
              </w:rPr>
            </w:r>
            <w:r>
              <w:rPr>
                <w:rFonts w:ascii="Times New Roman" w:hAnsi="Times New Roman"/>
                <w:lang w:val="en-U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79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4.6.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Допустимая скорость ветра при наличии гололеда, не менее, м/с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15</w:t>
            </w:r>
            <w:r>
              <w:rPr>
                <w:rFonts w:ascii="Times New Roman" w:hAnsi="Times New Roman"/>
                <w:lang w:val="en-US"/>
              </w:rPr>
            </w:r>
            <w:r>
              <w:rPr>
                <w:rFonts w:ascii="Times New Roman" w:hAnsi="Times New Roman"/>
                <w:lang w:val="en-US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79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4.7.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Максимальная высота установки над уровнем моря, не ниже, м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1000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4.8.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Сейсмичность района, баллов по шкале MSK-64, не менее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gridSpan w:val="6"/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5. Общие параметры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Исполнение (</w:t>
            </w:r>
            <w:r>
              <w:rPr>
                <w:rFonts w:ascii="Times New Roman" w:hAnsi="Times New Roman"/>
              </w:rPr>
              <w:t xml:space="preserve">киосковая</w:t>
            </w:r>
            <w:r>
              <w:rPr>
                <w:rFonts w:ascii="Times New Roman" w:hAnsi="Times New Roman"/>
              </w:rPr>
              <w:t xml:space="preserve">/столбовая/бетонная)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Киосковая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ZFL_ISPOLNENIE_TP_RP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Тип КТП (тупиковая/проходная)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Тупиковая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ZFL_TIP_TP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pStyle w:val="77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Мощность КТП,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pStyle w:val="772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250</w:t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5.4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Номинальное напряжение ВН, </w:t>
            </w:r>
            <w:r>
              <w:rPr>
                <w:rFonts w:ascii="Times New Roman" w:hAnsi="Times New Roman"/>
              </w:rPr>
              <w:t xml:space="preserve">кВ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ZPM_U_VN_NOM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56"/>
        </w:trPr>
        <w:tc>
          <w:tcPr>
            <w:tcW w:w="81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Наибольшее рабочее напряжение ВН, </w:t>
            </w:r>
            <w:r>
              <w:rPr>
                <w:rFonts w:ascii="Times New Roman" w:hAnsi="Times New Roman"/>
              </w:rPr>
              <w:t xml:space="preserve">кВ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ZPM_U_RAB_MAX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Номинальное напряжение НН, </w:t>
            </w:r>
            <w:r>
              <w:rPr>
                <w:rFonts w:ascii="Times New Roman" w:hAnsi="Times New Roman"/>
              </w:rPr>
              <w:t xml:space="preserve">кВ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0,4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ZPM_U_NN_NOM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Номинальная частота, Гц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ZPM_F_NOM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Исполнение вводов ВН–НН, (кабель/воздух)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Воздух-воздух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5.9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Материал здания, (сэндвич-панели, металл, ж/бетонные блоки)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Металл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5.10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Наличие лестниц, (да, нет)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5.11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Наличие водослива, (да, нет)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5.12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Наличие освещения в РУВН, РУНН, трансформаторных камерах, кабельных и релейных отсеках и розетки 220 В (переменного напряжения) для организации обслуживания, </w:t>
            </w:r>
            <w:r>
              <w:rPr>
                <w:rFonts w:ascii="Times New Roman" w:hAnsi="Times New Roman"/>
              </w:rPr>
              <w:br/>
              <w:t xml:space="preserve">(да, нет)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5.13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Освещение аварийное, рабочее (тип светильников – светодиодные), (да, нет)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5.14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Наличие технических средств для поддержания </w:t>
            </w:r>
            <w:r>
              <w:rPr>
                <w:rFonts w:ascii="Times New Roman" w:hAnsi="Times New Roman"/>
              </w:rPr>
              <w:t xml:space="preserve">рабочей температуры оборудования, (да, нет)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5.15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Наличие приборов технического учета электрической энергии на вводных присоединениях силовых трансформаторов РУНН, (да, нет)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Да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5.16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Наличие приборов учета электрической энергии на отходящих присоединениях РУНН: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- на присоединении, отходящем на наружное освещение (при его наличии), (да, нет)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- на всех отходящих присоединениях, (да, нет)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  <w:bCs/>
                <w:highlight w:val="none"/>
              </w:rPr>
            </w:pPr>
            <w:r>
              <w:rPr>
                <w:rFonts w:ascii="Times New Roman" w:hAnsi="Times New Roman"/>
                <w:bCs/>
                <w:highlight w:val="none"/>
              </w:rPr>
            </w:r>
            <w:r>
              <w:rPr>
                <w:rFonts w:ascii="Times New Roman" w:hAnsi="Times New Roman"/>
                <w:bCs/>
                <w:highlight w:val="none"/>
              </w:rPr>
            </w:r>
            <w:r>
              <w:rPr>
                <w:rFonts w:ascii="Times New Roman" w:hAnsi="Times New Roman"/>
                <w:bCs/>
                <w:highlight w:val="none"/>
              </w:rPr>
            </w:r>
          </w:p>
          <w:p>
            <w:pPr>
              <w:jc w:val="center"/>
              <w:keepNext/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  <w:bCs/>
                <w:highlight w:val="none"/>
              </w:rPr>
            </w:pPr>
            <w:r>
              <w:rPr>
                <w:rFonts w:ascii="Times New Roman" w:hAnsi="Times New Roman"/>
                <w:bCs/>
                <w:highlight w:val="none"/>
              </w:rPr>
              <w:t xml:space="preserve">нет</w:t>
            </w:r>
            <w:r>
              <w:rPr>
                <w:rFonts w:ascii="Times New Roman" w:hAnsi="Times New Roman"/>
                <w:bCs/>
                <w:highlight w:val="none"/>
              </w:rPr>
            </w:r>
            <w:r>
              <w:rPr>
                <w:rFonts w:ascii="Times New Roman" w:hAnsi="Times New Roman"/>
                <w:bCs/>
                <w:highlight w:val="none"/>
              </w:rPr>
            </w:r>
          </w:p>
          <w:p>
            <w:pPr>
              <w:jc w:val="center"/>
              <w:keepNext/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  <w:bCs/>
                <w:highlight w:val="none"/>
              </w:rPr>
            </w:pPr>
            <w:r>
              <w:rPr>
                <w:rFonts w:ascii="Times New Roman" w:hAnsi="Times New Roman"/>
                <w:bCs/>
                <w:highlight w:val="none"/>
              </w:rPr>
            </w:r>
            <w:r>
              <w:rPr>
                <w:rFonts w:ascii="Times New Roman" w:hAnsi="Times New Roman"/>
                <w:bCs/>
                <w:highlight w:val="none"/>
              </w:rPr>
            </w:r>
            <w:r>
              <w:rPr>
                <w:rFonts w:ascii="Times New Roman" w:hAnsi="Times New Roman"/>
                <w:bCs/>
                <w:highlight w:val="none"/>
              </w:rPr>
            </w:r>
          </w:p>
          <w:p>
            <w:pPr>
              <w:jc w:val="center"/>
              <w:keepNext/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да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shd w:val="clear" w:color="ffffff" w:fill="ffffff" w:themeFill="background1"/>
            <w:tcW w:w="817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5.17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shd w:val="clear" w:color="ffffff" w:fill="ffffff" w:themeFill="background1"/>
            <w:tcW w:w="521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Наличие единого контроллера АСУ ТП, Телемеханики, АИИС КУЭ, поддерживающего цифровой обмен и возможность интеграции в SCADA/DMS/OMS – системы посредством различных видов цифровой связи (проводной, радио, GSM/GPRS, и </w:t>
            </w:r>
            <w:r>
              <w:rPr>
                <w:rFonts w:ascii="Times New Roman" w:hAnsi="Times New Roman"/>
                <w:highlight w:val="none"/>
              </w:rPr>
              <w:t xml:space="preserve">пр</w:t>
            </w:r>
            <w:r>
              <w:rPr>
                <w:rFonts w:ascii="Times New Roman" w:hAnsi="Times New Roman"/>
                <w:highlight w:val="none"/>
              </w:rPr>
              <w:t xml:space="preserve">).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shd w:val="clear" w:color="ffffff" w:fill="ffffff" w:themeFill="background1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да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shd w:val="clear" w:color="ffffff" w:fill="ffffff" w:themeFill="background1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W w:w="1560" w:type="dxa"/>
            <w:textDirection w:val="lrTb"/>
            <w:noWrap w:val="false"/>
          </w:tcPr>
          <w:p>
            <w:pPr>
              <w:keepNext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509"/>
        </w:trPr>
        <w:tc>
          <w:tcPr>
            <w:shd w:val="clear" w:color="ffffff" w:fill="ffffff" w:themeFill="background1"/>
            <w:tcW w:w="817" w:type="dxa"/>
            <w:vMerge w:val="restar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5.18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shd w:val="clear" w:color="ffffff" w:fill="ffffff" w:themeFill="background1"/>
            <w:tcW w:w="5212" w:type="dxa"/>
            <w:vAlign w:val="center"/>
            <w:vMerge w:val="restar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Требования к диагностированию: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– в соответствии с периодичностью и объемом указанными в СТО 34.01-23.1-001-2017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shd w:val="clear" w:color="ffffff" w:fill="ffffff" w:themeFill="background1"/>
            <w:tcW w:w="1702" w:type="dxa"/>
            <w:vAlign w:val="center"/>
            <w:vMerge w:val="restart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            </w:t>
            </w:r>
            <w:r>
              <w:rPr>
                <w:rFonts w:ascii="Times New Roman" w:hAnsi="Times New Roman"/>
                <w:highlight w:val="none"/>
              </w:rPr>
              <w:t xml:space="preserve">Да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shd w:val="clear" w:color="ffffff" w:fill="ffffff"/>
            <w:tcW w:w="141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keepNext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W w:w="1560" w:type="dxa"/>
            <w:vMerge w:val="restart"/>
            <w:textDirection w:val="lrTb"/>
            <w:noWrap w:val="false"/>
          </w:tcPr>
          <w:p>
            <w:pPr>
              <w:keepNext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gridSpan w:val="6"/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6. Параметры РУВН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Производитель/Тип РУВН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*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Производитель / тип коммутационных аппаратов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pStyle w:val="772"/>
              <w:ind w:left="-46" w:right="-104" w:hanging="14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*/ разъединитель</w:t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Номинальный ток главных цепей, не менее, 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40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6.4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Ток термической стойкости на стороне ВН по ГОСТ 14695-80 (в течение 1с), не менее, кА: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pStyle w:val="772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Ток электродинамической стойкости на стороне ВН по ГОСТ 14695-80, не менее, кА: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-250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51</w:t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pStyle w:val="772"/>
              <w:rPr>
                <w:rFonts w:ascii="Times New Roman" w:hAnsi="Times New Roman"/>
                <w:sz w:val="24"/>
                <w:szCs w:val="24"/>
              </w:rPr>
              <w:pBdr>
                <w:left w:val="single" w:color="000000" w:sz="6" w:space="0"/>
              </w:pBd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Номинальный ток плавкой вставки предохранителя (в сторону трансформатора),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при наличии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772"/>
              <w:rPr>
                <w:rFonts w:ascii="Times New Roman" w:hAnsi="Times New Roman"/>
                <w:sz w:val="24"/>
                <w:szCs w:val="24"/>
              </w:rPr>
              <w:pBdr>
                <w:left w:val="single" w:color="000000" w:sz="6" w:space="0"/>
              </w:pBd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-250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772"/>
              <w:rPr>
                <w:rFonts w:ascii="Times New Roman" w:hAnsi="Times New Roman"/>
                <w:sz w:val="24"/>
                <w:szCs w:val="24"/>
              </w:rPr>
              <w:pBdr>
                <w:left w:val="single" w:color="000000" w:sz="6" w:space="0"/>
              </w:pBd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pStyle w:val="77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772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</w:p>
          <w:p>
            <w:pPr>
              <w:pStyle w:val="772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32</w:t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Условия обслуживания (одностороннее, </w:t>
            </w:r>
            <w:r>
              <w:rPr>
                <w:rFonts w:ascii="Times New Roman" w:hAnsi="Times New Roman"/>
              </w:rPr>
              <w:t xml:space="preserve">двустороннее)*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* – только для обслуживаемых КТП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одностороннее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ZPM_OBSLUG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Степень защиты оболочек шкафов (КСО, КРУ, КРУЭ) по ГОСТ 14254-96, не менее*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* – только для обслуживаемых КТП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lang w:val="en-US"/>
              </w:rPr>
              <w:t xml:space="preserve">IP</w:t>
            </w:r>
            <w:r>
              <w:rPr>
                <w:rFonts w:ascii="Times New Roman" w:hAnsi="Times New Roman"/>
                <w:bCs/>
              </w:rPr>
              <w:t xml:space="preserve">23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ZPM_STEPEN_ZASHIT_OBOLOCH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6.9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Вид управления </w:t>
            </w:r>
            <w:r>
              <w:rPr>
                <w:rFonts w:ascii="Times New Roman" w:hAnsi="Times New Roman"/>
                <w:i/>
              </w:rPr>
              <w:t xml:space="preserve">разъединителей и заземляющих разъединителей, устройств ввода/вывода АВР</w:t>
            </w:r>
            <w:r>
              <w:rPr>
                <w:rFonts w:ascii="Times New Roman" w:hAnsi="Times New Roman"/>
              </w:rPr>
              <w:t xml:space="preserve"> (местное, дистанционное), (да/ нет).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6.10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Габаритные размеры ячейки: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высота, мм, не более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ширина, мм, не более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глубина по габариту, мм, не более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глубина по основанию, мм, не более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*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*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*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*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ZPM_RAZMER_GABARIT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798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6.11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Расположение отсека сборных шин, (верхнее, нижнее)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Верхнее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6.12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Наличие дверей кабельного отсека, (да/ нет).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нет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6.13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Блокировки замками в соответствии с ПУЭ (механические и/или электромагнитные), (да/ нет).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6.14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Стальные стенки корпуса и внутренних перегородок отсеков толщиной не менее 2 мм, с антикоррозионным покрытием, (да/нет)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6.15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Заземлитель со встроенным пружинным приводом на включение, (да/нет)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Да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6.16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Наличие дверей в отсеке выдвижного элемента камеры, (да/нет)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нет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6.17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Наличие механической индикации положения ВЭ (</w:t>
            </w:r>
            <w:r>
              <w:rPr>
                <w:rFonts w:ascii="Times New Roman" w:hAnsi="Times New Roman"/>
              </w:rPr>
              <w:t xml:space="preserve">выкатного</w:t>
            </w:r>
            <w:r>
              <w:rPr>
                <w:rFonts w:ascii="Times New Roman" w:hAnsi="Times New Roman"/>
              </w:rPr>
              <w:t xml:space="preserve"> элемента) и ЗН (заземлителя), (да/нет)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нет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6.18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Наличие металлических перегородок между отсеками, (да/нет)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да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6.19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Наличие проходных изоляторов в отсеке </w:t>
            </w:r>
            <w:r>
              <w:rPr>
                <w:rFonts w:ascii="Times New Roman" w:hAnsi="Times New Roman"/>
              </w:rPr>
              <w:t xml:space="preserve">выкатного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элемента, (да/нет)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6.20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Установка ТТНП внутри (КСО, КРУ, КРУЭ), (да/</w:t>
            </w:r>
            <w:r>
              <w:rPr>
                <w:rFonts w:ascii="Times New Roman" w:hAnsi="Times New Roman"/>
              </w:rPr>
              <w:t xml:space="preserve">нет)*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* – только для обслуживаемых КТП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6.21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Выдвижной элемент высоковольтного отсека, (да/нет)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6.22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Периодичность и объем технического обслуживания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3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*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27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ZPM_PERIOD_PROVED_TO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gridSpan w:val="6"/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7. Трансформаторы тока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Заводской тип (марка)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*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ZPM_TIP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Изготовитель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*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ZPM_ZAVOD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Тип изоляции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*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ZPM_VID_IZOLYAC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7.4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Номинальное напряжение, </w:t>
            </w:r>
            <w:r>
              <w:rPr>
                <w:rFonts w:ascii="Times New Roman" w:hAnsi="Times New Roman"/>
              </w:rPr>
              <w:t xml:space="preserve">кВ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0,66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ZPM_U_NOM_KV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Наибольшее рабочее напряжение, </w:t>
            </w:r>
            <w:r>
              <w:rPr>
                <w:rFonts w:ascii="Times New Roman" w:hAnsi="Times New Roman"/>
              </w:rPr>
              <w:t xml:space="preserve">кВ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0,72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ZPM_U_RAB_MAX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Номинальная частота, Гц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ZPM_F_NOM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Допустимая перегрузка по первичному току, при котором сохраняется заявленный класс точности для измерительных обмоток, при температуре окружающего воздуха до +40°С, %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120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Ток термической стойкости, кА, не менее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*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ZPM_I_TERM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7.9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Время протекания тока термической стойкости, с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ZPM_TIME_I_TERM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7.10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Ток электродинамической стойкости, кА, не менее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*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ZPM_I_DIN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7.11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Номинальный первичный ток, </w:t>
            </w:r>
            <w:r>
              <w:rPr>
                <w:rFonts w:ascii="Times New Roman" w:hAnsi="Times New Roman"/>
              </w:rPr>
              <w:t xml:space="preserve">А</w:t>
            </w:r>
            <w:r>
              <w:rPr>
                <w:rFonts w:ascii="Times New Roman" w:hAnsi="Times New Roman"/>
              </w:rPr>
              <w:t xml:space="preserve"> и кол-во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both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ввод ВН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both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ввод НН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both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отходящие линии (при наличии)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14,4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361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*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ZPM_I_PERV_NOM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7.12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Номинальный вторичный ток, 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ZPM_I_VTOR_NOM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7.13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вторичных обмоток, не менее, шт.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 xml:space="preserve">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ZPM_KOL_OBMOT_VTOR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7.14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Класс точности, для целей учета, не хуже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0,5S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ZPM_KLASS_TOCHN_SIMV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7.15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Номинальная нагрузка, ВА, не менее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*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7.16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Номинальная предельная кратность вторичной обмотки для защиты, не менее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10%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ZPM_NOM_KRAT_VTOR_OBM</w:t>
            </w:r>
            <w:r>
              <w:rPr>
                <w:rFonts w:ascii="Times New Roman" w:hAnsi="Times New Roman"/>
                <w:lang w:val="en-US"/>
              </w:rPr>
            </w:r>
            <w:r>
              <w:rPr>
                <w:rFonts w:ascii="Times New Roman" w:hAnsi="Times New Roman"/>
                <w:lang w:val="en-US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7.17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Коэффициент безопасности приборов обмотки для измерений, не менее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10%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7.18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Наличие сертификата соответствия или декларации соответствия требованиям безопасности в системе ГОСТ Р и об утверждении типа средств измерений, (да, нет)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7.19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Наличие свидетельства о первичной поверке средств измерений, (да, нет)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7.20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Межповерочный</w:t>
            </w:r>
            <w:r>
              <w:rPr>
                <w:rFonts w:ascii="Times New Roman" w:hAnsi="Times New Roman"/>
              </w:rPr>
              <w:t xml:space="preserve"> интервал не менее 8 лет, (да, нет)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7.21.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Периодичность и объем технического обслуживания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*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ZPM_PERIOD_PROVED_TO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gridSpan w:val="6"/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8. Параметры РУНН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8.1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  <w:outlineLvl w:val="3"/>
            </w:pPr>
            <w:r>
              <w:rPr>
                <w:rFonts w:ascii="Times New Roman" w:hAnsi="Times New Roman"/>
              </w:rPr>
              <w:t xml:space="preserve">Производитель / тип коммутационного аппарата ввода НН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*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8.2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  <w:outlineLvl w:val="3"/>
            </w:pPr>
            <w:r>
              <w:rPr>
                <w:rFonts w:ascii="Times New Roman" w:hAnsi="Times New Roman"/>
              </w:rPr>
              <w:t xml:space="preserve">Номинальный ток, 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600-1000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ZPM_I_NOM_A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8.3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Коммутационные аппараты отходящих линий и количество, шт.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8.4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Наличие переходных шинок для крепления двух кабелей 0,4 </w:t>
            </w:r>
            <w:r>
              <w:rPr>
                <w:rFonts w:ascii="Times New Roman" w:hAnsi="Times New Roman"/>
              </w:rPr>
              <w:t xml:space="preserve">кВ</w:t>
            </w:r>
            <w:r>
              <w:rPr>
                <w:rFonts w:ascii="Times New Roman" w:hAnsi="Times New Roman"/>
              </w:rPr>
              <w:t xml:space="preserve"> (да, нет)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8.5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Наличие АВР НН </w:t>
            </w:r>
            <w:r>
              <w:rPr>
                <w:rFonts w:ascii="Times New Roman" w:hAnsi="Times New Roman"/>
              </w:rPr>
              <w:t xml:space="preserve">двухтрансформаторной</w:t>
            </w:r>
            <w:r>
              <w:rPr>
                <w:rFonts w:ascii="Times New Roman" w:hAnsi="Times New Roman"/>
              </w:rPr>
              <w:t xml:space="preserve"> ТП, (да, нет)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8.6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Номинальный ток сборных шин, не менее, </w:t>
            </w:r>
            <w:r>
              <w:rPr>
                <w:rFonts w:ascii="Times New Roman" w:hAnsi="Times New Roman"/>
              </w:rPr>
              <w:t xml:space="preserve">А</w:t>
            </w:r>
            <w:r>
              <w:rPr>
                <w:rFonts w:ascii="Times New Roman" w:hAnsi="Times New Roman"/>
              </w:rPr>
              <w:t xml:space="preserve">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- 250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  <w:p>
            <w:pPr>
              <w:jc w:val="center"/>
              <w:keepNext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400</w: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</w:r>
          </w:p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ZPM_I_SHIN_SBOR_NOM</w:t>
            </w:r>
            <w:r>
              <w:rPr>
                <w:rFonts w:ascii="Times New Roman" w:hAnsi="Times New Roman"/>
                <w:lang w:val="en-US"/>
              </w:rPr>
            </w:r>
            <w:r>
              <w:rPr>
                <w:rFonts w:ascii="Times New Roman" w:hAnsi="Times New Roman"/>
                <w:lang w:val="en-US"/>
              </w:rPr>
            </w:r>
          </w:p>
        </w:tc>
      </w:tr>
      <w:tr>
        <w:tblPrEx/>
        <w:trPr/>
        <w:tc>
          <w:tcPr>
            <w:gridSpan w:val="6"/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9. Параметры силового трансформатора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9.1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Трансформатор масляный герметичный, (да, нет)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9.2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Тип (марка) / Производитель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ТМГ/*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ZPM_TIP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9.3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Номинальное напряжение ВН/НН, </w:t>
            </w:r>
            <w:r>
              <w:rPr>
                <w:rFonts w:ascii="Times New Roman" w:hAnsi="Times New Roman"/>
              </w:rPr>
              <w:t xml:space="preserve">кВ</w:t>
            </w:r>
            <w:r>
              <w:rPr>
                <w:rFonts w:ascii="Times New Roman" w:hAnsi="Times New Roman"/>
              </w:rPr>
              <w:t xml:space="preserve">/</w:t>
            </w:r>
            <w:r>
              <w:rPr>
                <w:rFonts w:ascii="Times New Roman" w:hAnsi="Times New Roman"/>
              </w:rPr>
              <w:t xml:space="preserve">кВ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10/0,4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ZPM_U_VN_NOM</w:t>
            </w:r>
            <w:r>
              <w:rPr>
                <w:rFonts w:ascii="Times New Roman" w:hAnsi="Times New Roman"/>
                <w:lang w:val="en-US"/>
              </w:rPr>
              <w:br/>
              <w:t xml:space="preserve">ZPM_U_NN_NOM</w:t>
            </w:r>
            <w:r>
              <w:rPr>
                <w:rFonts w:ascii="Times New Roman" w:hAnsi="Times New Roman"/>
                <w:lang w:val="en-US"/>
              </w:rPr>
            </w:r>
            <w:r>
              <w:rPr>
                <w:rFonts w:ascii="Times New Roman" w:hAnsi="Times New Roman"/>
                <w:lang w:val="en-US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9.4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Номинальная мощность, </w:t>
            </w:r>
            <w:r>
              <w:rPr>
                <w:rFonts w:ascii="Times New Roman" w:hAnsi="Times New Roman"/>
              </w:rPr>
              <w:t xml:space="preserve">кВА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2" w:type="dxa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250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9.5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силовых трансформаторов, шт.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2" w:type="dxa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9.6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Ступени и диапазон регулирования ПБВ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2" w:type="dxa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±2*2,5%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9.7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  <w:outlineLvl w:val="3"/>
            </w:pPr>
            <w:r>
              <w:rPr>
                <w:rFonts w:ascii="Times New Roman" w:hAnsi="Times New Roman"/>
              </w:rPr>
              <w:t xml:space="preserve">Схема и группа соединений обмоток трансформатора: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  <w:lang w:val="en-US"/>
              </w:rPr>
              <w:t xml:space="preserve">Y</w:t>
            </w:r>
            <w:r>
              <w:rPr>
                <w:rFonts w:ascii="Times New Roman" w:hAnsi="Times New Roman"/>
                <w:i/>
              </w:rPr>
              <w:t xml:space="preserve">/</w:t>
            </w:r>
            <w:r>
              <w:rPr>
                <w:rFonts w:ascii="Times New Roman" w:hAnsi="Times New Roman"/>
                <w:i/>
                <w:lang w:val="en-US"/>
              </w:rPr>
              <w:t xml:space="preserve">Z</w:t>
            </w:r>
            <w:r>
              <w:rPr>
                <w:rFonts w:ascii="Times New Roman" w:hAnsi="Times New Roman"/>
                <w:i/>
                <w:vertAlign w:val="subscript"/>
              </w:rPr>
              <w:t xml:space="preserve">н </w:t>
            </w:r>
            <w:r>
              <w:rPr>
                <w:rFonts w:ascii="Times New Roman" w:hAnsi="Times New Roman"/>
                <w:i/>
              </w:rPr>
              <w:t xml:space="preserve">– при несимметричной нагрузке и мощности до 250 </w:t>
            </w:r>
            <w:r>
              <w:rPr>
                <w:rFonts w:ascii="Times New Roman" w:hAnsi="Times New Roman"/>
                <w:i/>
              </w:rPr>
              <w:t xml:space="preserve">кВА</w:t>
            </w:r>
            <w:r>
              <w:rPr>
                <w:rFonts w:ascii="Times New Roman" w:hAnsi="Times New Roman"/>
                <w:i/>
              </w:rPr>
              <w:t xml:space="preserve">;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</w:tc>
        <w:tc>
          <w:tcPr>
            <w:tcW w:w="1562" w:type="dxa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  <w:p>
            <w:pPr>
              <w:jc w:val="center"/>
              <w:keepNext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  <w:p>
            <w:pPr>
              <w:jc w:val="center"/>
              <w:rPr>
                <w:rFonts w:ascii="Times New Roman" w:hAnsi="Times New Roman"/>
                <w:i/>
                <w:vertAlign w:val="subscript"/>
              </w:rPr>
            </w:pPr>
            <w:r>
              <w:rPr>
                <w:rFonts w:ascii="Times New Roman" w:hAnsi="Times New Roman"/>
                <w:i/>
                <w:lang w:val="en-US"/>
              </w:rPr>
              <w:t xml:space="preserve">Y</w:t>
            </w:r>
            <w:r>
              <w:rPr>
                <w:rFonts w:ascii="Times New Roman" w:hAnsi="Times New Roman"/>
                <w:i/>
              </w:rPr>
              <w:t xml:space="preserve">/</w:t>
            </w:r>
            <w:r>
              <w:rPr>
                <w:rFonts w:ascii="Times New Roman" w:hAnsi="Times New Roman"/>
                <w:i/>
                <w:lang w:val="en-US"/>
              </w:rPr>
              <w:t xml:space="preserve">Z</w:t>
            </w:r>
            <w:r>
              <w:rPr>
                <w:rFonts w:ascii="Times New Roman" w:hAnsi="Times New Roman"/>
                <w:i/>
                <w:vertAlign w:val="subscript"/>
              </w:rPr>
              <w:t xml:space="preserve">н</w:t>
            </w:r>
            <w:r>
              <w:rPr>
                <w:rFonts w:ascii="Times New Roman" w:hAnsi="Times New Roman"/>
                <w:i/>
              </w:rPr>
              <w:t xml:space="preserve">-11</w:t>
            </w:r>
            <w:r>
              <w:rPr>
                <w:rFonts w:ascii="Times New Roman" w:hAnsi="Times New Roman"/>
                <w:i/>
                <w:vertAlign w:val="subscript"/>
              </w:rPr>
            </w:r>
            <w:r>
              <w:rPr>
                <w:rFonts w:ascii="Times New Roman" w:hAnsi="Times New Roman"/>
                <w:i/>
                <w:vertAlign w:val="subscript"/>
              </w:rPr>
            </w:r>
          </w:p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ZPM_SHEM_GR_SOED_OBMOT</w:t>
            </w:r>
            <w:r>
              <w:rPr>
                <w:rFonts w:ascii="Times New Roman" w:hAnsi="Times New Roman"/>
                <w:lang w:val="en-US"/>
              </w:rPr>
            </w:r>
            <w:r>
              <w:rPr>
                <w:rFonts w:ascii="Times New Roman" w:hAnsi="Times New Roman"/>
                <w:lang w:val="en-US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9.8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  <w:outlineLvl w:val="3"/>
            </w:pPr>
            <w:r>
              <w:rPr>
                <w:rFonts w:ascii="Times New Roman" w:hAnsi="Times New Roman"/>
              </w:rPr>
              <w:t xml:space="preserve">Параметры потерь короткого замыкания при T = 75 °С, не более, Вт (с учетом допустимого отклонения ± 10 %, в соответствии с ГОСТ Р 52719-2007): </w:t>
            </w:r>
            <w:r>
              <w:rPr>
                <w:rFonts w:ascii="Times New Roman" w:hAnsi="Times New Roman"/>
                <w:i/>
              </w:rPr>
              <w:t xml:space="preserve">- 250 </w:t>
            </w:r>
            <w:r>
              <w:rPr>
                <w:rFonts w:ascii="Times New Roman" w:hAnsi="Times New Roman"/>
                <w:i/>
              </w:rPr>
              <w:t xml:space="preserve">кВА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widowControl w:val="off"/>
              <w:rPr>
                <w:rFonts w:ascii="Times New Roman" w:hAnsi="Times New Roman"/>
              </w:rPr>
              <w:outlineLvl w:val="3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  <w:outlineLvl w:val="3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</w:rPr>
              <w:outlineLvl w:val="3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widowControl w:val="off"/>
              <w:rPr>
                <w:rFonts w:ascii="Times New Roman" w:hAnsi="Times New Roman"/>
              </w:rPr>
              <w:outlineLvl w:val="3"/>
            </w:pPr>
            <w:r>
              <w:rPr>
                <w:rFonts w:ascii="Times New Roman" w:hAnsi="Times New Roman"/>
              </w:rPr>
              <w:t xml:space="preserve">2955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9.9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  <w:outlineLvl w:val="3"/>
            </w:pPr>
            <w:r>
              <w:rPr>
                <w:rFonts w:ascii="Times New Roman" w:hAnsi="Times New Roman"/>
              </w:rPr>
              <w:t xml:space="preserve">Параметры потерь холостого хода при T = 75 °С, не более, Вт (с учетом допустимого отклонения ± 15 %, в соответствии с ГОСТ Р 52719-2007):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widowControl w:val="off"/>
              <w:rPr>
                <w:rFonts w:ascii="Times New Roman" w:hAnsi="Times New Roman"/>
                <w:i/>
              </w:rPr>
              <w:outlineLvl w:val="3"/>
            </w:pPr>
            <w:r>
              <w:rPr>
                <w:rFonts w:ascii="Times New Roman" w:hAnsi="Times New Roman"/>
                <w:i/>
              </w:rPr>
              <w:t xml:space="preserve">- 250 </w:t>
            </w:r>
            <w:r>
              <w:rPr>
                <w:rFonts w:ascii="Times New Roman" w:hAnsi="Times New Roman"/>
                <w:i/>
              </w:rPr>
              <w:t xml:space="preserve">кВА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</w:tc>
        <w:tc>
          <w:tcPr>
            <w:tcW w:w="156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  <w:outlineLvl w:val="3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425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ZPM_P_HH_VT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9.10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Срок службы, лет, не менее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2" w:type="dxa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ZPM_SROK_SLUZBY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9.11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Гарантийный срок момента ввода в эксплуатацию, лет, не менее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2" w:type="dxa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9.12.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5352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Периодичность и объем технического обслуживания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2" w:type="dxa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*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ZPM_PERIOD_PROVED_TO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9.13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Шпильки вводов ВН, НН трансформатора комплектно с латунными (медными) гайками и шайбами (по 2 шт.), либо контактные аппаратные зажимы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 латунными (медными) гайками и шайбами (по 2 шт.)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710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 xml:space="preserve">10.</w:t>
            </w:r>
            <w:r>
              <w:rPr>
                <w:rFonts w:ascii="Times New Roman" w:hAnsi="Times New Roman"/>
                <w:b/>
              </w:rPr>
              <w:tab/>
              <w:t xml:space="preserve">Учет электроэнергии (требования согласно СТО 34.01-5.1-009-2021 «Приборы учета электроэнергии. Общие технические требования», с 01.07.2025 - требования согласно СТО 34.01-5.1-009-2024)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10.1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Тип прибора учета электроэнергии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hd w:val="clear" w:color="ffffff" w:themeColor="background1" w:fill="ffffff" w:themeFill="background1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Трехфазный прибор учета электроэнергии непосредственного и трансформаторного включения (однофазный прибор - для фидера наружного освещения), соответствующие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СТО 34.01-5.1-009-2021</w:t>
            </w:r>
            <w:r>
              <w:rPr>
                <w:rFonts w:ascii="Times New Roman" w:hAnsi="Times New Roman" w:eastAsia="Times New Roman"/>
                <w:i/>
                <w:sz w:val="24"/>
                <w:szCs w:val="24"/>
              </w:rPr>
              <w:t xml:space="preserve">(с 01.07.2025 - СТО 34.01-5.1-009-2024)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  <w:highlight w:val="magenta"/>
              </w:rPr>
            </w:pPr>
            <w:r>
              <w:rPr>
                <w:rFonts w:ascii="Times New Roman" w:hAnsi="Times New Roman"/>
                <w:highlight w:val="magenta"/>
              </w:rPr>
            </w:r>
            <w:r>
              <w:rPr>
                <w:rFonts w:ascii="Times New Roman" w:hAnsi="Times New Roman"/>
                <w:highlight w:val="magenta"/>
              </w:rPr>
            </w:r>
            <w:r>
              <w:rPr>
                <w:rFonts w:ascii="Times New Roman" w:hAnsi="Times New Roman"/>
                <w:highlight w:val="magent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ZPM_TIP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10.2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Расположение прибора учета электроэнергии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hd w:val="clear" w:color="ffffff" w:themeColor="background1" w:fill="ffffff" w:themeFill="background1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 xml:space="preserve">*</w:t>
            </w:r>
            <w:r>
              <w:rPr>
                <w:rFonts w:ascii="Times New Roman" w:hAnsi="Times New Roman"/>
                <w:highlight w:val="yellow"/>
              </w:rPr>
            </w: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  <w:highlight w:val="magenta"/>
              </w:rPr>
            </w:pPr>
            <w:r>
              <w:rPr>
                <w:rFonts w:ascii="Times New Roman" w:hAnsi="Times New Roman"/>
                <w:highlight w:val="magenta"/>
              </w:rPr>
            </w:r>
            <w:r>
              <w:rPr>
                <w:rFonts w:ascii="Times New Roman" w:hAnsi="Times New Roman"/>
                <w:highlight w:val="magenta"/>
              </w:rPr>
            </w:r>
            <w:r>
              <w:rPr>
                <w:rFonts w:ascii="Times New Roman" w:hAnsi="Times New Roman"/>
                <w:highlight w:val="magent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10.3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Прибор учета электроэнергии: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на присоединении, отходящем на наружное освещение (при его наличии), (да, нет)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на всех отходящих присоединениях, (да, нет)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hd w:val="clear" w:color="ffffff" w:themeColor="background1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keepNext/>
              <w:shd w:val="clear" w:color="ffffff" w:themeColor="background1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keepNext/>
              <w:shd w:val="clear" w:color="ffffff" w:themeColor="background1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keepNext/>
              <w:shd w:val="clear" w:color="ffffff" w:themeColor="background1" w:fill="ffffff" w:themeFill="background1"/>
              <w:rPr>
                <w:rFonts w:ascii="Times New Roman" w:hAnsi="Times New Roman"/>
                <w:i/>
                <w:highlight w:val="yellow"/>
              </w:rPr>
            </w:pPr>
            <w:r>
              <w:rPr>
                <w:rFonts w:ascii="Times New Roman" w:hAnsi="Times New Roman"/>
              </w:rPr>
              <w:t xml:space="preserve">да</w:t>
            </w:r>
            <w:r>
              <w:rPr>
                <w:rFonts w:ascii="Times New Roman" w:hAnsi="Times New Roman"/>
                <w:i/>
                <w:highlight w:val="yellow"/>
              </w:rPr>
            </w:r>
            <w:r>
              <w:rPr>
                <w:rFonts w:ascii="Times New Roman" w:hAnsi="Times New Roman"/>
                <w:i/>
                <w:highlight w:val="yellow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ZPM_SCHETCHIK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10.4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Коробка испытательная переходная, шт.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shd w:val="clear" w:color="ffffff" w:themeColor="background1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10.5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Класс точности (акт. / реакт.), не хуже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772"/>
              <w:jc w:val="center"/>
              <w:rPr>
                <w:rFonts w:ascii="Times New Roman" w:hAnsi="Times New Roman"/>
                <w:sz w:val="24"/>
                <w:szCs w:val="24"/>
              </w:rPr>
              <w:pBdr>
                <w:left w:val="single" w:color="000000" w:sz="6" w:space="0"/>
              </w:pBd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соответствии с СТО 34.01-5.1-009-2021 (с 01.07.2025 - СТО 34.01-5.1-009-2024)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ZPM_KLASS_TOCHN_SIMV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10.6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Напряжение питания прибора учета электроэнергии, В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соответствии с СТО 34.01-5.1-009-2021 (с 01.07.2025 - СТО 34.01-5.1-009-2024)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10.7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Учет собственных нужд, (да, нет)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соответствии с СТО 34.01-5.1-009-2021 (с 01.07.2025 - СТО 34.01-5.1-009-2024)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10.8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Наличие резервного блока питания прибора учета электроэнергии от источника питания от сети ~220 В, (да, нет)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соответствии с СТО 34.01-5.1-009-2021 (с 01.07.2025 - СТО 34.01-5.1-009-2024)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10.9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интерфейсов RS-485, не менее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 xml:space="preserve">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11. Требования к ОПС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11.1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Обеспечение ОПС: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отдельным прибором, (да, нет);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охранно-пожарными датчиками типа «сухой </w:t>
            </w:r>
            <w:r>
              <w:rPr>
                <w:rFonts w:ascii="Times New Roman" w:hAnsi="Times New Roman"/>
              </w:rPr>
              <w:t xml:space="preserve">контакт», (да, нет);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пожарными датчиками дыма, (да, нет);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 xml:space="preserve">(Установка отдельного прибора обосновывается технико-экономическими расчетами)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нет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  <w:p>
            <w:pPr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нет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  <w:p>
            <w:pPr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 xml:space="preserve">нет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12. Комплектность поставки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12.1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Трансформаторы силовые, (да, нет)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Да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12.2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РУ ВН в полной комплектации, (да, нет)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Да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12.3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РУ НН в полной комплектации, (да, нет)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Да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ffffff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>
              <w:t xml:space="preserve">12.4</w:t>
            </w:r>
            <w:r/>
          </w:p>
        </w:tc>
        <w:tc>
          <w:tcPr>
            <w:shd w:val="clear" w:color="ffffff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Комплект ОПН ВН на основе оксидно-цинковых варисторов, (да, нет)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shd w:val="clear" w:color="ffffff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shd w:val="clear" w:color="ffffff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/>
            <w:r/>
          </w:p>
        </w:tc>
        <w:tc>
          <w:tcPr>
            <w:shd w:val="clear" w:color="ffffff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12.5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Блочно</w:t>
            </w:r>
            <w:r>
              <w:rPr>
                <w:rFonts w:ascii="Times New Roman" w:hAnsi="Times New Roman"/>
              </w:rPr>
              <w:t xml:space="preserve">-модульное здание, (да, нет)\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ascii="Times New Roman" w:hAnsi="Times New Roman"/>
                <w:i/>
                <w:highlight w:val="none"/>
              </w:rPr>
            </w:pPr>
            <w:r>
              <w:rPr>
                <w:rFonts w:ascii="Times New Roman" w:hAnsi="Times New Roman"/>
                <w:i/>
                <w:highlight w:val="none"/>
              </w:rPr>
              <w:t xml:space="preserve">нет</w:t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2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12.6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Запасные части и принадлежности (ЗИП), (да, нет)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(состав ЗИП определяется производителем)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Да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12.7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shd w:val="clear" w:color="ffffff" w:themeColor="background1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Технический паспорт, Российские сертификаты (декларации) соответствия, протоколы испытаний, указ</w:t>
            </w:r>
            <w:r>
              <w:rPr>
                <w:rFonts w:ascii="Times New Roman" w:hAnsi="Times New Roman"/>
              </w:rPr>
              <w:t xml:space="preserve">анные в сертификате (декларации),  документация по монтажу, наладке и эксплуатации на русском языке, сертификаты (декларации) соответствия основных комплектующих оборудования, документальное подтверждение производителем срока службы и гарантии, кол-во экз.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12.8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 каждую единицу измерительного оборудования должен быть предоставлен паспорт (с указанием даты поверки), комплектность по спецификации, руководство по эксплуатации, (да, нет)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vMerge w:val="restart"/>
            <w:textDirection w:val="lrTb"/>
            <w:noWrap w:val="false"/>
          </w:tcPr>
          <w:p>
            <w:pPr>
              <w:pStyle w:val="772"/>
              <w:shd w:val="clear" w:color="ffffff" w:themeColor="background1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12.9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vMerge w:val="restart"/>
            <w:textDirection w:val="lrTb"/>
            <w:noWrap w:val="false"/>
          </w:tcPr>
          <w:p>
            <w:pPr>
              <w:pStyle w:val="772"/>
              <w:shd w:val="clear" w:color="ffffff" w:themeColor="background1" w:fill="ffffff" w:themeFill="background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Комплект наконечников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опрессовки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СИП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(для СТП при необходимости),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(да, нет)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vMerge w:val="restart"/>
            <w:textDirection w:val="lrTb"/>
            <w:noWrap w:val="false"/>
          </w:tcPr>
          <w:p>
            <w:pPr>
              <w:pStyle w:val="772"/>
              <w:jc w:val="center"/>
              <w:shd w:val="clear" w:color="ffffff" w:themeColor="background1" w:fill="ffffff" w:themeFill="background1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13. Требования по надежности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13.1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Срок гарантийного обслуживания с момента ввода в эксплуатацию, лет, не менее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5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13.2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Срок службы, лет, не менее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30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ZPM_SROK_</w:t>
            </w:r>
            <w:r>
              <w:rPr>
                <w:rFonts w:ascii="Times New Roman" w:hAnsi="Times New Roman"/>
              </w:rPr>
              <w:t xml:space="preserve">SLUZBY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13.3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Срок службы до среднего ремонта, лет, не менее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 xml:space="preserve">*</w:t>
            </w:r>
            <w:r>
              <w:rPr>
                <w:rFonts w:ascii="Times New Roman" w:hAnsi="Times New Roman"/>
                <w:bCs/>
                <w:i/>
              </w:rPr>
            </w:r>
            <w:r>
              <w:rPr>
                <w:rFonts w:ascii="Times New Roman" w:hAnsi="Times New Roman"/>
                <w:bCs/>
                <w:i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gridSpan w:val="6"/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14. Требования по безопасности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14.1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Наличие российских сертификатов (деклараций) безопасности, (да, нет)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14.2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Наличие российских сертификатов (деклараций) безопасности на комплектующие КТП, (да, нет)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r/>
            <w:r/>
          </w:p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gridSpan w:val="6"/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15. Требования по сертификации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15.1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Измерительные средства имеют сертификаты об утверждении типа средств измерении (с информацией о занесении СИ в </w:t>
            </w:r>
            <w:r>
              <w:rPr>
                <w:rFonts w:ascii="Times New Roman" w:hAnsi="Times New Roman"/>
              </w:rPr>
              <w:t xml:space="preserve">Госреестр</w:t>
            </w:r>
            <w:r>
              <w:rPr>
                <w:rFonts w:ascii="Times New Roman" w:hAnsi="Times New Roman"/>
              </w:rPr>
              <w:t xml:space="preserve"> РФ) и действующие свидетельства о поверке,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(да, нет, указать номер и дату документа)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shd w:val="clear" w:color="ffffff" w:fill="ffffff" w:themeFill="background1"/>
            <w:tcW w:w="1702" w:type="dxa"/>
            <w:vAlign w:val="center"/>
            <w:textDirection w:val="lrTb"/>
            <w:noWrap w:val="false"/>
          </w:tcPr>
          <w:p>
            <w:r/>
            <w:r/>
          </w:p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pStyle w:val="772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Да, указать номер и дату документа</w:t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</w:p>
          <w:p>
            <w:pPr>
              <w:jc w:val="center"/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16. Маркировка, упаковка, транспортировка, условия хранения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16.1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Маркировка, упаковка, консервация по ГОСТ 14192-96, ГОСТ 23216-78 и ГОСТ 15150-69, (да, нет)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Да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16.2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Условия транспортирования (авто или ж/д транспорт)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*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16.3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Наличие «шок-индикатора» на транспортной упаковке для контроля условий транспортировки, (да, нет)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Да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16.4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 и ЗИП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*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16.5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среды, (да, нет)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Да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16.6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Шеф-монтажные работы включены в стоимость оборудования, (да, нет)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нет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17. Дополнительные требования для КТП </w:t>
            </w:r>
            <w:r>
              <w:rPr>
                <w:rFonts w:ascii="Times New Roman" w:hAnsi="Times New Roman"/>
                <w:b/>
              </w:rPr>
              <w:t xml:space="preserve">киоскового</w:t>
            </w:r>
            <w:r>
              <w:rPr>
                <w:rFonts w:ascii="Times New Roman" w:hAnsi="Times New Roman"/>
                <w:b/>
              </w:rPr>
              <w:t xml:space="preserve"> исполнения: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</w:r>
            <w:r>
              <w:rPr>
                <w:rFonts w:ascii="Times New Roman" w:hAnsi="Times New Roman"/>
                <w:b/>
                <w:i/>
              </w:rPr>
            </w:r>
            <w:r>
              <w:rPr>
                <w:rFonts w:ascii="Times New Roman" w:hAnsi="Times New Roman"/>
                <w:b/>
                <w:i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17.1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Наличие заземляющих ножей на разъединителе/выключателя нагрузки ВН, привода основных и заземляющих ножей, (да, нет)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shd w:val="clear" w:color="ffffff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17.2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Конструкция привода разъединителя должна предусматривать возможность установки механического замка для фиксации привода при отключенных основных ножах разъединителя, (да, нет)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shd w:val="clear" w:color="ffffff" w:fill="ffffff" w:themeFill="background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17.3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Наличие блокировки (в соответствии с действующими требованиями НТД) от включения выключателя нагрузки ВН при включенных заземляющих ножах и от включения заземляющих ножей при включенном выключателе нагрузки, (да, нет)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17.4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Наличие блокировки между сетчатым ограждением УВН (отсек предохранителей ВН и силового трансформатора) и заземляющими ножами и разъед</w:t>
            </w:r>
            <w:r>
              <w:rPr>
                <w:rFonts w:ascii="Times New Roman" w:hAnsi="Times New Roman"/>
              </w:rPr>
              <w:t xml:space="preserve">инителя (выключателя нагрузки) ВН, не допускающая доступ в отсек УВН при отключенных заземляющих ножах разъединителя (выключателя нагрузки) ВН и предотвращающая их выключение при открытом сетчатом ограждении отсека (блокировка состоит из двух механических </w:t>
            </w:r>
            <w:r>
              <w:rPr>
                <w:rFonts w:ascii="Times New Roman" w:hAnsi="Times New Roman"/>
              </w:rPr>
              <w:t xml:space="preserve">одноключевых</w:t>
            </w:r>
            <w:r>
              <w:rPr>
                <w:rFonts w:ascii="Times New Roman" w:hAnsi="Times New Roman"/>
              </w:rPr>
              <w:t xml:space="preserve"> блок-замков секрета А2, установленных на приводе заземляющих ножей разъединителя (выключателя нагрузки) ВН и на раме сетчатого ограждения отсека УВН), (да, нет)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17.5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Габариты КТП должны позволять установку силового трансформатора следующего номинала по мощности, (да, нет)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да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17.6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Конструкция КТП должна обеспечивать возможность замены силового трансформатора без демонтажа РУНН, (да, нет)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17.7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КТП комплектуются фидером наружного освещения с автоматикой управления и возможность проводить операции ВКЛ/ВЫКЛ другими организациями без доступа в КТП (антивандальный шкаф), (да, нет)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нет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17.8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Двери в КТП должны без заеданий поворачиваться на шарнирах на угол не менее 95°, иметь замки и ручки. Ручки могут быть съемными или совмещены </w:t>
            </w:r>
            <w:r>
              <w:rPr>
                <w:rFonts w:ascii="Times New Roman" w:hAnsi="Times New Roman"/>
              </w:rPr>
              <w:t xml:space="preserve">с ключом или защелкой, (да, нет)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17.9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Прибор учета электрической энергии фидера уличного освещения должен располагаться так, чтобы была возможность снятия показаний без открывания дверей КТП, (да, нет)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  <w:r>
              <w:rPr>
                <w:rFonts w:ascii="Times New Roman" w:hAnsi="Times New Roman"/>
                <w:highlight w:val="yellow"/>
              </w:rPr>
            </w:r>
            <w:r>
              <w:rPr>
                <w:rFonts w:ascii="Times New Roman" w:hAnsi="Times New Roman"/>
                <w:highlight w:val="yellow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 xml:space="preserve">Нет</w:t>
            </w:r>
            <w:r>
              <w:rPr>
                <w:rFonts w:ascii="Times New Roman" w:hAnsi="Times New Roman"/>
                <w:highlight w:val="yellow"/>
              </w:rPr>
            </w: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17.10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ind w:left="9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Наличие у производителя оформленных альбомов типовых технических решений по монтажу КТП, (да, нет)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17.11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ind w:left="9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Исполнение вводов ВН – НН, (да, нет):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ind w:left="9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воздух (ВЛЗ 6 (10) </w:t>
            </w:r>
            <w:r>
              <w:rPr>
                <w:rFonts w:ascii="Times New Roman" w:hAnsi="Times New Roman"/>
              </w:rPr>
              <w:t xml:space="preserve">кВ</w:t>
            </w:r>
            <w:r>
              <w:rPr>
                <w:rFonts w:ascii="Times New Roman" w:hAnsi="Times New Roman"/>
              </w:rPr>
              <w:t xml:space="preserve">) - воздух (НН СИП 0,4 </w:t>
            </w:r>
            <w:r>
              <w:rPr>
                <w:rFonts w:ascii="Times New Roman" w:hAnsi="Times New Roman"/>
              </w:rPr>
              <w:t xml:space="preserve">кВ</w:t>
            </w:r>
            <w:r>
              <w:rPr>
                <w:rFonts w:ascii="Times New Roman" w:hAnsi="Times New Roman"/>
              </w:rPr>
              <w:t xml:space="preserve">);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</w:t>
            </w:r>
            <w:r>
              <w:rPr>
                <w:rFonts w:ascii="Times New Roman" w:hAnsi="Times New Roman"/>
              </w:rPr>
              <w:t xml:space="preserve">Да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</w:tc>
      </w:tr>
      <w:tr>
        <w:tblPrEx/>
        <w:trPr>
          <w:trHeight w:val="509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17.12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Использование приборов учета в качестве измерительных приборов вольтметр на 3 фазы, амперметр в каждой фазе, (да, нет)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</w:t>
            </w:r>
            <w:r>
              <w:rPr>
                <w:rFonts w:ascii="Times New Roman" w:hAnsi="Times New Roman"/>
              </w:rPr>
              <w:t xml:space="preserve">Да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17.13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Номинальный ток коммутационного аппарата, 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</w:t>
            </w:r>
            <w:r>
              <w:rPr>
                <w:rFonts w:ascii="Times New Roman" w:hAnsi="Times New Roman"/>
              </w:rPr>
              <w:t xml:space="preserve">40</w:t>
            </w:r>
            <w:r>
              <w:rPr>
                <w:rFonts w:ascii="Times New Roman" w:hAnsi="Times New Roman"/>
              </w:rPr>
              <w:t xml:space="preserve">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17.14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Автоматические выключатели отходящих линий: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5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tcW w:w="5212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 – количество, шт./Т – тип/</w:t>
            </w:r>
            <w:r>
              <w:rPr>
                <w:rFonts w:ascii="Times New Roman" w:hAnsi="Times New Roman"/>
              </w:rPr>
              <w:t xml:space="preserve">Iн</w:t>
            </w:r>
            <w:r>
              <w:rPr>
                <w:rFonts w:ascii="Times New Roman" w:hAnsi="Times New Roman"/>
              </w:rPr>
              <w:t xml:space="preserve"> – номинальный ток, А/</w:t>
            </w:r>
            <w:r>
              <w:rPr>
                <w:rFonts w:ascii="Times New Roman" w:hAnsi="Times New Roman"/>
              </w:rPr>
              <w:t xml:space="preserve">Iр</w:t>
            </w:r>
            <w:r>
              <w:rPr>
                <w:rFonts w:ascii="Times New Roman" w:hAnsi="Times New Roman"/>
              </w:rPr>
              <w:t xml:space="preserve"> – ток </w:t>
            </w:r>
            <w:r>
              <w:rPr>
                <w:rFonts w:ascii="Times New Roman" w:hAnsi="Times New Roman"/>
              </w:rPr>
              <w:t xml:space="preserve">расцепителя</w:t>
            </w:r>
            <w:r>
              <w:rPr>
                <w:rFonts w:ascii="Times New Roman" w:hAnsi="Times New Roman"/>
              </w:rPr>
              <w:t xml:space="preserve">, 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shd w:val="clear" w:color="ffffff" w:fill="ffffff"/>
            <w:tcW w:w="170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  <w:t xml:space="preserve">/ВА/</w:t>
            </w:r>
            <w:r>
              <w:rPr>
                <w:rFonts w:ascii="Times New Roman" w:hAnsi="Times New Roman"/>
              </w:rPr>
              <w:t xml:space="preserve">160</w:t>
            </w:r>
            <w:r>
              <w:rPr>
                <w:rFonts w:ascii="Times New Roman" w:hAnsi="Times New Roman"/>
              </w:rPr>
              <w:t xml:space="preserve">/*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6" w:space="0"/>
              <w:right w:val="single" w:color="000000" w:sz="6" w:space="0"/>
            </w:tcBorders>
            <w:tcW w:w="521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shd w:val="clear" w:color="ffffff" w:fill="ffffff"/>
            <w:tcW w:w="170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1/ВА/</w:t>
            </w:r>
            <w:r>
              <w:rPr>
                <w:rFonts w:ascii="Times New Roman" w:hAnsi="Times New Roman"/>
              </w:rPr>
              <w:t xml:space="preserve">10</w:t>
            </w:r>
            <w:r>
              <w:rPr>
                <w:rFonts w:ascii="Times New Roman" w:hAnsi="Times New Roman"/>
              </w:rPr>
              <w:t xml:space="preserve">0/*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6" w:space="0"/>
              <w:right w:val="single" w:color="000000" w:sz="6" w:space="0"/>
            </w:tcBorders>
            <w:tcW w:w="521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shd w:val="clear" w:color="ffffff" w:fill="ffffff"/>
            <w:tcW w:w="170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17.15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Наличие смотровых окон на дверце шкафа РУНН/щита учета/шкафа АСКУЭ напротив мест крепления приборов учета электроэнергии,</w:t>
            </w:r>
            <w:r>
              <w:rPr>
                <w:rFonts w:ascii="Times New Roman" w:hAnsi="Times New Roman"/>
              </w:rPr>
              <w:t xml:space="preserve"> равное количеству отходящих линий РУНН плюс 1 (одно) окно для прибора учета электроэнергии на вводе в соответствии с п.12.2, для визуального снятия показаний приборов учета электроэнергии без открытия дверцы шкафа. Размеры каждого окна, не менее, мм (Ш×В)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110×110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jc w:val="center"/>
        <w:widowControl w:val="off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widowControl w:val="off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widowControl w:val="off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Примечание: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widowControl w:val="off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Во всем неоговоренном ТП должны соответствовать требованиям: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widowControl w:val="off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ГОСТ 14695-80 «Подстанции трансформаторные комплектные мощностью от 25 до 2500 </w:t>
      </w:r>
      <w:r>
        <w:rPr>
          <w:rFonts w:ascii="Times New Roman" w:hAnsi="Times New Roman"/>
        </w:rPr>
        <w:t xml:space="preserve">кВ·</w:t>
      </w:r>
      <w:r>
        <w:rPr>
          <w:rFonts w:ascii="Times New Roman" w:hAnsi="Times New Roman"/>
        </w:rPr>
        <w:t xml:space="preserve">А</w:t>
      </w:r>
      <w:r>
        <w:rPr>
          <w:rFonts w:ascii="Times New Roman" w:hAnsi="Times New Roman"/>
        </w:rPr>
        <w:t xml:space="preserve"> на напряжение до 10 </w:t>
      </w:r>
      <w:r>
        <w:rPr>
          <w:rFonts w:ascii="Times New Roman" w:hAnsi="Times New Roman"/>
        </w:rPr>
        <w:t xml:space="preserve">кВ.</w:t>
      </w:r>
      <w:r>
        <w:rPr>
          <w:rFonts w:ascii="Times New Roman" w:hAnsi="Times New Roman"/>
        </w:rPr>
        <w:t xml:space="preserve"> Общие технические условия»;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widowControl w:val="off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СТО34.01-3.1-003-2017 «Построение распределительной сети напряжением 0,4 -10 </w:t>
      </w:r>
      <w:r>
        <w:rPr>
          <w:rFonts w:ascii="Times New Roman" w:hAnsi="Times New Roman"/>
        </w:rPr>
        <w:t xml:space="preserve">кВ</w:t>
      </w:r>
      <w:r>
        <w:rPr>
          <w:rFonts w:ascii="Times New Roman" w:hAnsi="Times New Roman"/>
        </w:rPr>
        <w:t xml:space="preserve"> с применением столбовых трансформаторных подстанций 6-10/0,4 </w:t>
      </w:r>
      <w:r>
        <w:rPr>
          <w:rFonts w:ascii="Times New Roman" w:hAnsi="Times New Roman"/>
        </w:rPr>
        <w:t xml:space="preserve">кВ</w:t>
      </w:r>
      <w:r>
        <w:rPr>
          <w:rFonts w:ascii="Times New Roman" w:hAnsi="Times New Roman"/>
        </w:rPr>
        <w:t xml:space="preserve">»;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widowControl w:val="off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СТО 34.01-3.1-001-2016 «Комплектные трансформаторные подстанции 6-20/0,4 кв. Общие технические требования».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both"/>
        <w:widowControl w:val="off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Параметры, отмеченные *, должны быть представлены изготовителем.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widowControl w:val="off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Заполняется участником: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№ 3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техническому заданию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567"/>
        <w:jc w:val="both"/>
        <w:keepNext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2381552" cy="1232439"/>
                <wp:effectExtent l="0" t="0" r="0" b="0"/>
                <wp:docPr id="1" name="Рисунок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05303295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4"/>
                        <a:stretch/>
                      </pic:blipFill>
                      <pic:spPr bwMode="auto">
                        <a:xfrm>
                          <a:off x="0" y="0"/>
                          <a:ext cx="2381550" cy="123243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187.52pt;height:97.04pt;mso-wrap-distance-left:0.00pt;mso-wrap-distance-top:0.00pt;mso-wrap-distance-right:0.00pt;mso-wrap-distance-bottom:0.00pt;" stroked="false">
                <v:path textboxrect="0,0,0,0"/>
                <v:imagedata r:id="rId14" o:title=""/>
              </v:shape>
            </w:pict>
          </mc:Fallback>
        </mc:AlternateConten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jc w:val="both"/>
        <w:keepNext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jc w:val="both"/>
        <w:keepNext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Рис. 1 Фирменный цвет. Цветовая палитра по международной шкале </w:t>
      </w:r>
      <w:r>
        <w:rPr>
          <w:rFonts w:ascii="Times New Roman" w:hAnsi="Times New Roman" w:eastAsia="Times New Roman"/>
          <w:sz w:val="28"/>
          <w:szCs w:val="28"/>
          <w:lang w:val="en-US"/>
        </w:rPr>
        <w:t xml:space="preserve">PANTONE</w:t>
      </w:r>
      <w:r>
        <w:rPr>
          <w:rFonts w:ascii="Times New Roman" w:hAnsi="Times New Roman" w:eastAsia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jc w:val="center"/>
        <w:keepNext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ind w:firstLine="567"/>
        <w:keepNext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836257" cy="2166083"/>
                <wp:effectExtent l="0" t="0" r="0" b="5715"/>
                <wp:docPr id="2" name="Рисунок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62805679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5"/>
                        <a:stretch/>
                      </pic:blipFill>
                      <pic:spPr bwMode="auto">
                        <a:xfrm>
                          <a:off x="0" y="0"/>
                          <a:ext cx="5834556" cy="216545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459.55pt;height:170.56pt;mso-wrap-distance-left:0.00pt;mso-wrap-distance-top:0.00pt;mso-wrap-distance-right:0.00pt;mso-wrap-distance-bottom:0.00pt;" stroked="false">
                <v:path textboxrect="0,0,0,0"/>
                <v:imagedata r:id="rId15" o:title=""/>
              </v:shape>
            </w:pict>
          </mc:Fallback>
        </mc:AlternateConten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jc w:val="both"/>
        <w:keepNext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keepNext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Рис. 2. Фирменный блок. Начертание логотипа в представленной пропорции.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jc w:val="center"/>
        <w:keepNext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ind w:firstLine="284"/>
        <w:keepNext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10559" cy="3220278"/>
                <wp:effectExtent l="0" t="0" r="9525" b="0"/>
                <wp:docPr id="3" name="Рисунок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71802314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6"/>
                        <a:stretch/>
                      </pic:blipFill>
                      <pic:spPr bwMode="auto">
                        <a:xfrm>
                          <a:off x="0" y="0"/>
                          <a:ext cx="4816514" cy="32242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378.78pt;height:253.57pt;mso-wrap-distance-left:0.00pt;mso-wrap-distance-top:0.00pt;mso-wrap-distance-right:0.00pt;mso-wrap-distance-bottom:0.00pt;" stroked="false">
                <v:path textboxrect="0,0,0,0"/>
                <v:imagedata r:id="rId16" o:title=""/>
              </v:shape>
            </w:pict>
          </mc:Fallback>
        </mc:AlternateConten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jc w:val="center"/>
        <w:keepNext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keepNext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  <w:t xml:space="preserve">Рис. 3. Оформление КТП </w:t>
      </w:r>
      <w:r>
        <w:rPr>
          <w:rFonts w:ascii="Times New Roman" w:hAnsi="Times New Roman" w:eastAsia="Times New Roman"/>
          <w:sz w:val="28"/>
          <w:szCs w:val="28"/>
        </w:rPr>
        <w:t xml:space="preserve">киоскового</w:t>
      </w:r>
      <w:r>
        <w:rPr>
          <w:rFonts w:ascii="Times New Roman" w:hAnsi="Times New Roman" w:eastAsia="Times New Roman"/>
          <w:sz w:val="28"/>
          <w:szCs w:val="28"/>
        </w:rPr>
        <w:t xml:space="preserve"> типа.</w:t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ind w:firstLine="284"/>
        <w:keepNext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ind w:firstLine="284"/>
        <w:keepNext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ind w:firstLine="284"/>
        <w:keepNext/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590675" cy="2390775"/>
                <wp:effectExtent l="0" t="0" r="9525" b="9525"/>
                <wp:docPr id="4" name="Рисуно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15775451" name="Рисунок 4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7"/>
                        <a:stretch/>
                      </pic:blipFill>
                      <pic:spPr bwMode="auto">
                        <a:xfrm>
                          <a:off x="0" y="0"/>
                          <a:ext cx="1590674" cy="23907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125.25pt;height:188.25pt;mso-wrap-distance-left:0.00pt;mso-wrap-distance-top:0.00pt;mso-wrap-distance-right:0.00pt;mso-wrap-distance-bottom:0.00pt;" stroked="f">
                <v:path textboxrect="0,0,0,0"/>
                <v:imagedata r:id="rId17" o:title="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284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Рис.4 Знак безопасности «Не влезай, убьет!»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72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Требования к изготовлению знаков безопасности: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72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изготавливаются из металла толщиной не менее 0,5 мм со стеклокерамическим, эмалированным покрытием в соответствии с требованиями ГОСТ 24405-80 со сроком эксплуатации не менее 20 лет;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72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должны изготавливаться методом штамповки с </w:t>
      </w:r>
      <w:r>
        <w:rPr>
          <w:rFonts w:ascii="Times New Roman" w:hAnsi="Times New Roman"/>
          <w:sz w:val="28"/>
          <w:szCs w:val="28"/>
        </w:rPr>
        <w:t xml:space="preserve">отбортовкой</w:t>
      </w:r>
      <w:r>
        <w:rPr>
          <w:rFonts w:ascii="Times New Roman" w:hAnsi="Times New Roman"/>
          <w:sz w:val="28"/>
          <w:szCs w:val="28"/>
        </w:rPr>
        <w:t xml:space="preserve"> по всему периметру базового носителя. Не допускается наличие отверстий на лицевой поверхности базовых носителей;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72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конструкция должна предусматривать наличие универсальных (для всех видов креплений) отверстий на бортах базовых носителей, в том числе кронштейнами, бандажной металлической лентой, метизами и др.;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72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нанесение текста и изображений на базовый носитель выполняется методам </w:t>
      </w:r>
      <w:r>
        <w:rPr>
          <w:rFonts w:ascii="Times New Roman" w:hAnsi="Times New Roman"/>
          <w:sz w:val="28"/>
          <w:szCs w:val="28"/>
        </w:rPr>
        <w:t xml:space="preserve">деколирования</w:t>
      </w:r>
      <w:r>
        <w:rPr>
          <w:rFonts w:ascii="Times New Roman" w:hAnsi="Times New Roman"/>
          <w:sz w:val="28"/>
          <w:szCs w:val="28"/>
        </w:rPr>
        <w:t xml:space="preserve"> на эмалированную поверхность – нанесение изображения при помощи </w:t>
      </w:r>
      <w:r>
        <w:rPr>
          <w:rFonts w:ascii="Times New Roman" w:hAnsi="Times New Roman"/>
          <w:sz w:val="28"/>
          <w:szCs w:val="28"/>
        </w:rPr>
        <w:t xml:space="preserve">шелкографической</w:t>
      </w:r>
      <w:r>
        <w:rPr>
          <w:rFonts w:ascii="Times New Roman" w:hAnsi="Times New Roman"/>
          <w:sz w:val="28"/>
          <w:szCs w:val="28"/>
        </w:rPr>
        <w:t xml:space="preserve"> печати с последующим высокотемпературным обжигом. Борта базовых носителей должны покрываться силикатной эмалью и закрываться </w:t>
      </w:r>
      <w:r>
        <w:rPr>
          <w:rFonts w:ascii="Times New Roman" w:hAnsi="Times New Roman"/>
          <w:sz w:val="28"/>
          <w:szCs w:val="28"/>
        </w:rPr>
        <w:t xml:space="preserve">деколью</w:t>
      </w:r>
      <w:r>
        <w:rPr>
          <w:rFonts w:ascii="Times New Roman" w:hAnsi="Times New Roman"/>
          <w:sz w:val="28"/>
          <w:szCs w:val="28"/>
        </w:rPr>
        <w:t xml:space="preserve"> в продолжении основного изображения лицевой поверхности (не допускается изготовление </w:t>
      </w:r>
      <w:r>
        <w:rPr>
          <w:rFonts w:ascii="Times New Roman" w:hAnsi="Times New Roman"/>
          <w:sz w:val="28"/>
          <w:szCs w:val="28"/>
        </w:rPr>
        <w:t xml:space="preserve">деколей</w:t>
      </w:r>
      <w:r>
        <w:rPr>
          <w:rFonts w:ascii="Times New Roman" w:hAnsi="Times New Roman"/>
          <w:sz w:val="28"/>
          <w:szCs w:val="28"/>
        </w:rPr>
        <w:t xml:space="preserve"> на струйных, цифровых и офсетных принтерах);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72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цветографические</w:t>
      </w:r>
      <w:r>
        <w:rPr>
          <w:rFonts w:ascii="Times New Roman" w:hAnsi="Times New Roman"/>
          <w:sz w:val="28"/>
          <w:szCs w:val="28"/>
        </w:rPr>
        <w:t xml:space="preserve"> изображения должны соответствовать стандартной шкале </w:t>
      </w:r>
      <w:r>
        <w:rPr>
          <w:rFonts w:ascii="Times New Roman" w:hAnsi="Times New Roman"/>
          <w:sz w:val="28"/>
          <w:szCs w:val="28"/>
        </w:rPr>
        <w:t xml:space="preserve">Pantone</w:t>
      </w:r>
      <w:r>
        <w:rPr>
          <w:rFonts w:ascii="Times New Roman" w:hAnsi="Times New Roman"/>
          <w:sz w:val="28"/>
          <w:szCs w:val="28"/>
        </w:rPr>
        <w:t xml:space="preserve">/</w:t>
      </w:r>
      <w:r>
        <w:rPr>
          <w:rFonts w:ascii="Times New Roman" w:hAnsi="Times New Roman"/>
          <w:sz w:val="28"/>
          <w:szCs w:val="28"/>
        </w:rPr>
        <w:t xml:space="preserve">Ral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72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фоновые изображения базовых носителей должны быть матовые (антибликовые);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72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размеры элементов изображений, размещаемых на базовых носителях, необходимо выбирать, исходя из максимальной реализации свободного пространства;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72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поверхность покрытия должна быть гладкой, однородной, не должна содержать посторонних включений и загрязнения. Не допускается наличие пузырей, потеков, вспучивания, трещин, кратеров, разрывов и отслаиваний покрытия.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72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72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Знаки безопасности должны удовлетворять следующим условиям эксплуатации: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72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возможность эксплуатации при температуре окружающей среды от -70℃ до + 50℃ и относительной влажности воздуха от 0 до 100%;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72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стойкость текста и изображения к воздействию растворителей и слабых растворов кислот, а также к выцветанию на протяжении всего срока службы;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72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стойкость к негативному влиянию коррозионных агентов атмосферы воздуха, соответствующих группе II (промышленная) в соответствии с ГОСТ 15150 на протяжении всего срока службы;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72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стойкость к воздействию атмосферных осадков (снега, инея, дождя), солнечного излучения, соляного тумана, пыли (для базовых носителей наружного размещения) на протяжении всего срока службы;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72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 правильной эксплуатации и соблюдении общих правил охраны труда и гигиены должно исключаться выделение в окружающую среду токсичных и вредных веществ.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72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77"/>
        <w:gridCol w:w="793"/>
      </w:tblGrid>
      <w:tr>
        <w:tblPrEx/>
        <w:trPr>
          <w:jc w:val="center"/>
          <w:trHeight w:val="125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77" w:type="dxa"/>
            <w:vAlign w:val="center"/>
            <w:textDirection w:val="lrTb"/>
            <w:noWrap w:val="false"/>
          </w:tcPr>
          <w:p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КТПТ-ХХ-ХХХ/ХХ/0,4 Х.Х.Х.Х.Х.Х.Х.Х.Х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</w:tcBorders>
            <w:tcW w:w="793" w:type="dxa"/>
            <w:vAlign w:val="center"/>
            <w:textDirection w:val="lrTb"/>
            <w:noWrap w:val="false"/>
          </w:tcPr>
          <w:p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30 мм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Borders>
              <w:top w:val="single" w:color="000000" w:sz="4" w:space="0"/>
            </w:tcBorders>
            <w:tcW w:w="4277" w:type="dxa"/>
            <w:textDirection w:val="lrTb"/>
            <w:noWrap w:val="false"/>
          </w:tcPr>
          <w:p>
            <w:pPr>
              <w:jc w:val="center"/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100 мм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shd w:val="clear" w:color="ffffff" w:fill="ffffff"/>
            <w:tcW w:w="793" w:type="dxa"/>
            <w:textDirection w:val="lrTb"/>
            <w:noWrap w:val="false"/>
          </w:tcPr>
          <w:p>
            <w:pPr>
              <w:jc w:val="both"/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Рис.6 Информационная табличка «Наименование товара»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72"/>
        <w:ind w:firstLine="709"/>
        <w:jc w:val="both"/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Требования к изготовлению информационной таблички: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72"/>
        <w:ind w:firstLine="709"/>
        <w:jc w:val="both"/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изготавливается из полиэфирной бумаги белого цвета размером 30*100 мм;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72"/>
        <w:ind w:firstLine="709"/>
        <w:jc w:val="both"/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табличку наносится текст черного цвета, указанный в ячейке столбца «Наименование товара», соответствующей комплектации КТП. Размер текста необходимо выбирать, исходя из максимальной реализации свободного пространства;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72"/>
        <w:ind w:firstLine="709"/>
        <w:jc w:val="both"/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табличка размещается на корпусе КТП, на расстоянии не более 10 сантиметров от таблички завода-изготовителя и на упаковке КТП;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72"/>
        <w:ind w:firstLine="709"/>
        <w:jc w:val="both"/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возможность эксплуатации при температуре окружающей среды от -70℃ до + 50℃ и относительной влажности воздуха от 0 до 100%.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567"/>
        <w:jc w:val="both"/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  <w:sectPr>
          <w:footnotePr/>
          <w:endnotePr/>
          <w:type w:val="nextPage"/>
          <w:pgSz w:w="12240" w:h="15840" w:orient="portrait"/>
          <w:pgMar w:top="567" w:right="709" w:bottom="425" w:left="1276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Приложение № 4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к техническому заданию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Структура обозначения тупиковых комплектных трансформаторных подстанций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675990" cy="7758037"/>
                <wp:effectExtent l="6350" t="6350" r="6350" b="6350"/>
                <wp:docPr id="5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51133414" name="Рисунок 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8"/>
                        <a:srcRect l="0" t="0" r="0" b="3430"/>
                        <a:stretch/>
                      </pic:blipFill>
                      <pic:spPr bwMode="auto">
                        <a:xfrm flipH="0" flipV="0">
                          <a:off x="0" y="0"/>
                          <a:ext cx="5675990" cy="775803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width:446.93pt;height:610.87pt;mso-wrap-distance-left:0.00pt;mso-wrap-distance-top:0.00pt;mso-wrap-distance-right:0.00pt;mso-wrap-distance-bottom:0.00pt;" stroked="f">
                <v:path textboxrect="0,0,0,0"/>
                <v:imagedata r:id="rId18" o:title="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widowControl w:val="off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</w:p>
    <w:sectPr>
      <w:footerReference w:type="default" r:id="rId9"/>
      <w:footnotePr/>
      <w:endnotePr/>
      <w:type w:val="nextPage"/>
      <w:pgSz w:w="12240" w:h="15840" w:orient="portrait"/>
      <w:pgMar w:top="567" w:right="709" w:bottom="567" w:left="1276" w:header="72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  <w:endnote w:type="continuationNotice" w:id="1">
    <w:p>
      <w:pPr>
        <w:spacing w:after="0"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Cambria">
    <w:panose1 w:val="0204050305040603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31</w:t>
    </w:r>
    <w:r>
      <w:fldChar w:fldCharType="end"/>
    </w:r>
    <w:r/>
  </w:p>
  <w:p>
    <w:pPr>
      <w:pStyle w:val="75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type="continuationNotice" w:id="1">
    <w:p>
      <w:pPr>
        <w:spacing w:after="0" w:line="240" w:lineRule="auto"/>
      </w:pPr>
      <w:r/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52"/>
      <w:isLgl w:val="false"/>
      <w:suff w:val="tab"/>
      <w:lvlText w:val="%1"/>
      <w:lvlJc w:val="left"/>
      <w:pPr>
        <w:ind w:left="0" w:firstLine="0"/>
        <w:tabs>
          <w:tab w:val="num" w:pos="0" w:leader="none"/>
        </w:tabs>
      </w:pPr>
      <w:rPr>
        <w:rFonts w:ascii="Times New Roman" w:hAnsi="Times New Roman" w:cs="Times New Roman"/>
        <w:b/>
        <w:i w:val="0"/>
        <w:caps w:val="0"/>
        <w:strike w:val="0"/>
        <w:vanish w:val="0"/>
        <w:color w:val="000000"/>
        <w:sz w:val="28"/>
        <w:szCs w:val="28"/>
        <w:u w:val="none"/>
        <w:vertAlign w:val="baseline"/>
      </w:rPr>
    </w:lvl>
    <w:lvl w:ilvl="1">
      <w:start w:val="1"/>
      <w:numFmt w:val="decimal"/>
      <w:pStyle w:val="953"/>
      <w:isLgl w:val="false"/>
      <w:suff w:val="tab"/>
      <w:lvlText w:val="%1.%2"/>
      <w:lvlJc w:val="left"/>
      <w:pPr>
        <w:ind w:left="0" w:firstLine="0"/>
        <w:tabs>
          <w:tab w:val="num" w:pos="0" w:leader="none"/>
        </w:tabs>
      </w:pPr>
      <w:rPr>
        <w:rFonts w:ascii="Times New Roman" w:hAnsi="Times New Roman" w:cs="Times New Roman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955"/>
      <w:isLgl w:val="false"/>
      <w:suff w:val="tab"/>
      <w:lvlText w:val="%1.%2.%3."/>
      <w:lvlJc w:val="left"/>
      <w:pPr>
        <w:ind w:left="1224" w:hanging="504"/>
        <w:tabs>
          <w:tab w:val="num" w:pos="1224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28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6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9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68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suff w:val="tab"/>
      <w:lvlText w:val="%1.%2"/>
      <w:lvlJc w:val="left"/>
      <w:pPr>
        <w:ind w:left="390" w:hanging="390"/>
      </w:pPr>
      <w:rPr>
        <w:rFonts w:hint="default" w:ascii="Times New Roman" w:hAnsi="Times New Roman" w:eastAsia="Times New Roman" w:cs="Times New Roman"/>
        <w:b w:val="0"/>
        <w:i w:val="0"/>
      </w:rPr>
    </w:lvl>
    <w:lvl w:ilvl="2">
      <w:start w:val="1"/>
      <w:numFmt w:val="decimal"/>
      <w:isLgl/>
      <w:suff w:val="tab"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suff w:val="tab"/>
      <w:lvlText w:val="%1.%2"/>
      <w:lvlJc w:val="left"/>
      <w:pPr>
        <w:ind w:left="390" w:hanging="390"/>
      </w:pPr>
      <w:rPr>
        <w:rFonts w:hint="default"/>
        <w:b w:val="0"/>
        <w:i w:val="0"/>
      </w:rPr>
    </w:lvl>
    <w:lvl w:ilvl="2">
      <w:start w:val="1"/>
      <w:numFmt w:val="decimal"/>
      <w:isLgl/>
      <w:suff w:val="tab"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space"/>
      <w:lvlText w:val="–"/>
      <w:lvlJc w:val="left"/>
      <w:pPr>
        <w:ind w:left="850" w:hanging="85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7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849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281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785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289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793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297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801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377" w:hanging="1440"/>
      </w:pPr>
    </w:lvl>
  </w:abstractNum>
  <w:abstractNum w:abstractNumId="10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1.%2"/>
      <w:lvlJc w:val="left"/>
      <w:pPr>
        <w:ind w:left="390" w:hanging="390"/>
      </w:pPr>
      <w:rPr>
        <w:rFonts w:hint="default" w:ascii="Times New Roman" w:hAnsi="Times New Roman" w:eastAsia="Times New Roman" w:cs="Times New Roman"/>
        <w:b w:val="0"/>
        <w:i w:val="0"/>
      </w:rPr>
    </w:lvl>
    <w:lvl w:ilvl="2">
      <w:start w:val="1"/>
      <w:numFmt w:val="decimal"/>
      <w:isLgl/>
      <w:suff w:val="tab"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space"/>
      <w:lvlText w:val="–"/>
      <w:lvlJc w:val="left"/>
      <w:pPr>
        <w:ind w:left="850" w:hanging="85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1.%2"/>
      <w:lvlJc w:val="left"/>
      <w:pPr>
        <w:ind w:left="390" w:hanging="390"/>
      </w:pPr>
      <w:rPr>
        <w:rFonts w:hint="default" w:ascii="Times New Roman" w:hAnsi="Times New Roman" w:eastAsia="Times New Roman" w:cs="Times New Roman"/>
        <w:b w:val="0"/>
        <w:i w:val="0"/>
      </w:rPr>
    </w:lvl>
    <w:lvl w:ilvl="2">
      <w:start w:val="1"/>
      <w:numFmt w:val="decimal"/>
      <w:isLgl/>
      <w:suff w:val="tab"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0">
    <w:name w:val="Heading 2 Char"/>
    <w:basedOn w:val="742"/>
    <w:link w:val="734"/>
    <w:uiPriority w:val="9"/>
    <w:rPr>
      <w:rFonts w:ascii="Arial" w:hAnsi="Arial" w:eastAsia="Arial" w:cs="Arial"/>
      <w:sz w:val="34"/>
    </w:rPr>
  </w:style>
  <w:style w:type="character" w:styleId="721">
    <w:name w:val="Heading 4 Char"/>
    <w:basedOn w:val="742"/>
    <w:link w:val="736"/>
    <w:uiPriority w:val="9"/>
    <w:rPr>
      <w:rFonts w:ascii="Arial" w:hAnsi="Arial" w:eastAsia="Arial" w:cs="Arial"/>
      <w:b/>
      <w:bCs/>
      <w:sz w:val="26"/>
      <w:szCs w:val="26"/>
    </w:rPr>
  </w:style>
  <w:style w:type="character" w:styleId="722">
    <w:name w:val="Heading 5 Char"/>
    <w:basedOn w:val="742"/>
    <w:link w:val="737"/>
    <w:uiPriority w:val="9"/>
    <w:rPr>
      <w:rFonts w:ascii="Arial" w:hAnsi="Arial" w:eastAsia="Arial" w:cs="Arial"/>
      <w:b/>
      <w:bCs/>
      <w:sz w:val="24"/>
      <w:szCs w:val="24"/>
    </w:rPr>
  </w:style>
  <w:style w:type="character" w:styleId="723">
    <w:name w:val="Heading 6 Char"/>
    <w:basedOn w:val="742"/>
    <w:link w:val="738"/>
    <w:uiPriority w:val="9"/>
    <w:rPr>
      <w:rFonts w:ascii="Arial" w:hAnsi="Arial" w:eastAsia="Arial" w:cs="Arial"/>
      <w:b/>
      <w:bCs/>
      <w:sz w:val="22"/>
      <w:szCs w:val="22"/>
    </w:rPr>
  </w:style>
  <w:style w:type="character" w:styleId="724">
    <w:name w:val="Heading 7 Char"/>
    <w:basedOn w:val="742"/>
    <w:link w:val="73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5">
    <w:name w:val="Heading 8 Char"/>
    <w:basedOn w:val="742"/>
    <w:link w:val="740"/>
    <w:uiPriority w:val="9"/>
    <w:rPr>
      <w:rFonts w:ascii="Arial" w:hAnsi="Arial" w:eastAsia="Arial" w:cs="Arial"/>
      <w:i/>
      <w:iCs/>
      <w:sz w:val="22"/>
      <w:szCs w:val="22"/>
    </w:rPr>
  </w:style>
  <w:style w:type="character" w:styleId="726">
    <w:name w:val="Heading 9 Char"/>
    <w:basedOn w:val="742"/>
    <w:link w:val="741"/>
    <w:uiPriority w:val="9"/>
    <w:rPr>
      <w:rFonts w:ascii="Arial" w:hAnsi="Arial" w:eastAsia="Arial" w:cs="Arial"/>
      <w:i/>
      <w:iCs/>
      <w:sz w:val="21"/>
      <w:szCs w:val="21"/>
    </w:rPr>
  </w:style>
  <w:style w:type="character" w:styleId="727">
    <w:name w:val="Title Char"/>
    <w:basedOn w:val="742"/>
    <w:link w:val="791"/>
    <w:uiPriority w:val="10"/>
    <w:rPr>
      <w:sz w:val="48"/>
      <w:szCs w:val="48"/>
    </w:rPr>
  </w:style>
  <w:style w:type="character" w:styleId="728">
    <w:name w:val="Subtitle Char"/>
    <w:basedOn w:val="742"/>
    <w:link w:val="793"/>
    <w:uiPriority w:val="11"/>
    <w:rPr>
      <w:sz w:val="24"/>
      <w:szCs w:val="24"/>
    </w:rPr>
  </w:style>
  <w:style w:type="character" w:styleId="729">
    <w:name w:val="Quote Char"/>
    <w:link w:val="795"/>
    <w:uiPriority w:val="29"/>
    <w:rPr>
      <w:i/>
    </w:rPr>
  </w:style>
  <w:style w:type="character" w:styleId="730">
    <w:name w:val="Intense Quote Char"/>
    <w:link w:val="797"/>
    <w:uiPriority w:val="30"/>
    <w:rPr>
      <w:i/>
    </w:rPr>
  </w:style>
  <w:style w:type="character" w:styleId="731">
    <w:name w:val="Endnote Text Char"/>
    <w:link w:val="776"/>
    <w:uiPriority w:val="99"/>
    <w:rPr>
      <w:sz w:val="20"/>
    </w:rPr>
  </w:style>
  <w:style w:type="paragraph" w:styleId="732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733">
    <w:name w:val="Heading 1"/>
    <w:basedOn w:val="732"/>
    <w:next w:val="732"/>
    <w:link w:val="958"/>
    <w:uiPriority w:val="9"/>
    <w:qFormat/>
    <w:pPr>
      <w:keepLines/>
      <w:keepNext/>
      <w:spacing w:before="480" w:after="0"/>
      <w:outlineLvl w:val="0"/>
    </w:pPr>
    <w:rPr>
      <w:rFonts w:ascii="Cambria" w:hAnsi="Cambria" w:eastAsia="Times New Roman"/>
      <w:b/>
      <w:bCs/>
      <w:color w:val="365f91"/>
      <w:sz w:val="28"/>
      <w:szCs w:val="28"/>
    </w:rPr>
  </w:style>
  <w:style w:type="paragraph" w:styleId="734">
    <w:name w:val="Heading 2"/>
    <w:basedOn w:val="732"/>
    <w:next w:val="732"/>
    <w:link w:val="781"/>
    <w:uiPriority w:val="9"/>
    <w:unhideWhenUsed/>
    <w:qFormat/>
    <w:pPr>
      <w:keepLines/>
      <w:keepNext/>
      <w:spacing w:before="360" w:line="240" w:lineRule="auto"/>
      <w:outlineLvl w:val="1"/>
    </w:pPr>
    <w:rPr>
      <w:rFonts w:ascii="Arial" w:hAnsi="Arial" w:eastAsia="Arial" w:cs="Arial"/>
      <w:sz w:val="34"/>
      <w:szCs w:val="24"/>
      <w:lang w:eastAsia="ru-RU"/>
    </w:rPr>
  </w:style>
  <w:style w:type="paragraph" w:styleId="735">
    <w:name w:val="Heading 3"/>
    <w:basedOn w:val="732"/>
    <w:next w:val="732"/>
    <w:link w:val="959"/>
    <w:uiPriority w:val="9"/>
    <w:semiHidden/>
    <w:unhideWhenUsed/>
    <w:qFormat/>
    <w:pPr>
      <w:keepLines/>
      <w:keepNext/>
      <w:spacing w:before="200" w:after="0"/>
      <w:outlineLvl w:val="2"/>
    </w:pPr>
    <w:rPr>
      <w:rFonts w:ascii="Cambria" w:hAnsi="Cambria" w:eastAsia="Times New Roman"/>
      <w:b/>
      <w:bCs/>
      <w:color w:val="4f81bd"/>
    </w:rPr>
  </w:style>
  <w:style w:type="paragraph" w:styleId="736">
    <w:name w:val="Heading 4"/>
    <w:basedOn w:val="732"/>
    <w:next w:val="732"/>
    <w:link w:val="783"/>
    <w:uiPriority w:val="9"/>
    <w:unhideWhenUsed/>
    <w:qFormat/>
    <w:pPr>
      <w:keepLines/>
      <w:keepNext/>
      <w:spacing w:before="320" w:line="240" w:lineRule="auto"/>
      <w:outlineLvl w:val="3"/>
    </w:pPr>
    <w:rPr>
      <w:rFonts w:ascii="Arial" w:hAnsi="Arial" w:eastAsia="Arial" w:cs="Arial"/>
      <w:b/>
      <w:bCs/>
      <w:sz w:val="26"/>
      <w:szCs w:val="26"/>
      <w:lang w:eastAsia="ru-RU"/>
    </w:rPr>
  </w:style>
  <w:style w:type="paragraph" w:styleId="737">
    <w:name w:val="Heading 5"/>
    <w:basedOn w:val="732"/>
    <w:next w:val="732"/>
    <w:link w:val="784"/>
    <w:uiPriority w:val="9"/>
    <w:unhideWhenUsed/>
    <w:qFormat/>
    <w:pPr>
      <w:keepLines/>
      <w:keepNext/>
      <w:spacing w:before="320" w:line="240" w:lineRule="auto"/>
      <w:outlineLvl w:val="4"/>
    </w:pPr>
    <w:rPr>
      <w:rFonts w:ascii="Arial" w:hAnsi="Arial" w:eastAsia="Arial" w:cs="Arial"/>
      <w:b/>
      <w:bCs/>
      <w:sz w:val="24"/>
      <w:szCs w:val="24"/>
      <w:lang w:eastAsia="ru-RU"/>
    </w:rPr>
  </w:style>
  <w:style w:type="paragraph" w:styleId="738">
    <w:name w:val="Heading 6"/>
    <w:basedOn w:val="732"/>
    <w:next w:val="732"/>
    <w:link w:val="785"/>
    <w:uiPriority w:val="9"/>
    <w:unhideWhenUsed/>
    <w:qFormat/>
    <w:pPr>
      <w:keepLines/>
      <w:keepNext/>
      <w:spacing w:before="320" w:line="240" w:lineRule="auto"/>
      <w:outlineLvl w:val="5"/>
    </w:pPr>
    <w:rPr>
      <w:rFonts w:ascii="Arial" w:hAnsi="Arial" w:eastAsia="Arial" w:cs="Arial"/>
      <w:b/>
      <w:bCs/>
      <w:lang w:eastAsia="ru-RU"/>
    </w:rPr>
  </w:style>
  <w:style w:type="paragraph" w:styleId="739">
    <w:name w:val="Heading 7"/>
    <w:basedOn w:val="732"/>
    <w:next w:val="732"/>
    <w:link w:val="786"/>
    <w:uiPriority w:val="9"/>
    <w:unhideWhenUsed/>
    <w:qFormat/>
    <w:pPr>
      <w:keepLines/>
      <w:keepNext/>
      <w:spacing w:before="320" w:line="240" w:lineRule="auto"/>
      <w:outlineLvl w:val="6"/>
    </w:pPr>
    <w:rPr>
      <w:rFonts w:ascii="Arial" w:hAnsi="Arial" w:eastAsia="Arial" w:cs="Arial"/>
      <w:b/>
      <w:bCs/>
      <w:i/>
      <w:iCs/>
      <w:lang w:eastAsia="ru-RU"/>
    </w:rPr>
  </w:style>
  <w:style w:type="paragraph" w:styleId="740">
    <w:name w:val="Heading 8"/>
    <w:basedOn w:val="732"/>
    <w:next w:val="732"/>
    <w:link w:val="787"/>
    <w:uiPriority w:val="9"/>
    <w:unhideWhenUsed/>
    <w:qFormat/>
    <w:pPr>
      <w:keepLines/>
      <w:keepNext/>
      <w:spacing w:before="320" w:line="240" w:lineRule="auto"/>
      <w:outlineLvl w:val="7"/>
    </w:pPr>
    <w:rPr>
      <w:rFonts w:ascii="Arial" w:hAnsi="Arial" w:eastAsia="Arial" w:cs="Arial"/>
      <w:i/>
      <w:iCs/>
      <w:lang w:eastAsia="ru-RU"/>
    </w:rPr>
  </w:style>
  <w:style w:type="paragraph" w:styleId="741">
    <w:name w:val="Heading 9"/>
    <w:basedOn w:val="732"/>
    <w:next w:val="732"/>
    <w:link w:val="788"/>
    <w:uiPriority w:val="9"/>
    <w:unhideWhenUsed/>
    <w:qFormat/>
    <w:pPr>
      <w:keepLines/>
      <w:keepNext/>
      <w:spacing w:before="320" w:line="240" w:lineRule="auto"/>
      <w:outlineLvl w:val="8"/>
    </w:pPr>
    <w:rPr>
      <w:rFonts w:ascii="Arial" w:hAnsi="Arial" w:eastAsia="Arial" w:cs="Arial"/>
      <w:i/>
      <w:iCs/>
      <w:sz w:val="21"/>
      <w:szCs w:val="21"/>
      <w:lang w:eastAsia="ru-RU"/>
    </w:rPr>
  </w:style>
  <w:style w:type="character" w:styleId="742" w:default="1">
    <w:name w:val="Default Paragraph Font"/>
    <w:uiPriority w:val="1"/>
    <w:semiHidden/>
    <w:unhideWhenUsed/>
  </w:style>
  <w:style w:type="table" w:styleId="74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44" w:default="1">
    <w:name w:val="No List"/>
    <w:uiPriority w:val="99"/>
    <w:semiHidden/>
    <w:unhideWhenUsed/>
  </w:style>
  <w:style w:type="table" w:styleId="745">
    <w:name w:val="Table Grid"/>
    <w:basedOn w:val="743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746" w:customStyle="1">
    <w:name w:val="Абзац списка1"/>
    <w:basedOn w:val="732"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47">
    <w:name w:val="Body Text Indent"/>
    <w:basedOn w:val="732"/>
    <w:link w:val="748"/>
    <w:pPr>
      <w:ind w:left="283"/>
      <w:spacing w:after="120" w:line="240" w:lineRule="auto"/>
    </w:pPr>
    <w:rPr>
      <w:rFonts w:ascii="Times New Roman" w:hAnsi="Times New Roman" w:eastAsia="Times New Roman"/>
      <w:sz w:val="24"/>
      <w:szCs w:val="24"/>
    </w:rPr>
  </w:style>
  <w:style w:type="character" w:styleId="748" w:customStyle="1">
    <w:name w:val="Основной текст с отступом Знак"/>
    <w:link w:val="747"/>
    <w:rPr>
      <w:rFonts w:ascii="Times New Roman" w:hAnsi="Times New Roman" w:eastAsia="Times New Roman"/>
      <w:sz w:val="24"/>
      <w:szCs w:val="24"/>
    </w:rPr>
  </w:style>
  <w:style w:type="paragraph" w:styleId="749">
    <w:name w:val="Balloon Text"/>
    <w:basedOn w:val="732"/>
    <w:link w:val="750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</w:rPr>
  </w:style>
  <w:style w:type="character" w:styleId="750" w:customStyle="1">
    <w:name w:val="Текст выноски Знак"/>
    <w:link w:val="749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751" w:customStyle="1">
    <w:name w:val="Стиль3"/>
    <w:basedOn w:val="732"/>
    <w:link w:val="752"/>
    <w:pPr>
      <w:ind w:firstLine="567"/>
      <w:jc w:val="both"/>
      <w:keepLines/>
      <w:spacing w:after="0" w:line="360" w:lineRule="auto"/>
    </w:pPr>
    <w:rPr>
      <w:rFonts w:ascii="Arial" w:hAnsi="Arial" w:eastAsia="Times New Roman"/>
    </w:rPr>
  </w:style>
  <w:style w:type="character" w:styleId="752" w:customStyle="1">
    <w:name w:val="Стиль3 Знак"/>
    <w:link w:val="751"/>
    <w:rPr>
      <w:rFonts w:ascii="Arial" w:hAnsi="Arial" w:eastAsia="Times New Roman" w:cs="Arial"/>
      <w:sz w:val="22"/>
      <w:szCs w:val="22"/>
    </w:rPr>
  </w:style>
  <w:style w:type="paragraph" w:styleId="753">
    <w:name w:val="Header"/>
    <w:basedOn w:val="732"/>
    <w:link w:val="75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54" w:customStyle="1">
    <w:name w:val="Верхний колонтитул Знак"/>
    <w:link w:val="753"/>
    <w:uiPriority w:val="99"/>
    <w:rPr>
      <w:sz w:val="22"/>
      <w:szCs w:val="22"/>
      <w:lang w:eastAsia="en-US"/>
    </w:rPr>
  </w:style>
  <w:style w:type="paragraph" w:styleId="755">
    <w:name w:val="Footer"/>
    <w:basedOn w:val="732"/>
    <w:link w:val="756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56" w:customStyle="1">
    <w:name w:val="Нижний колонтитул Знак"/>
    <w:link w:val="755"/>
    <w:uiPriority w:val="99"/>
    <w:rPr>
      <w:sz w:val="22"/>
      <w:szCs w:val="22"/>
      <w:lang w:eastAsia="en-US"/>
    </w:rPr>
  </w:style>
  <w:style w:type="character" w:styleId="757" w:customStyle="1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758">
    <w:name w:val="annotation reference"/>
    <w:unhideWhenUsed/>
    <w:rPr>
      <w:sz w:val="16"/>
      <w:szCs w:val="16"/>
    </w:rPr>
  </w:style>
  <w:style w:type="paragraph" w:styleId="759">
    <w:name w:val="annotation text"/>
    <w:basedOn w:val="732"/>
    <w:link w:val="760"/>
    <w:unhideWhenUsed/>
    <w:rPr>
      <w:sz w:val="20"/>
      <w:szCs w:val="20"/>
    </w:rPr>
  </w:style>
  <w:style w:type="character" w:styleId="760" w:customStyle="1">
    <w:name w:val="Текст примечания Знак"/>
    <w:link w:val="759"/>
    <w:rPr>
      <w:lang w:eastAsia="en-US"/>
    </w:rPr>
  </w:style>
  <w:style w:type="paragraph" w:styleId="761">
    <w:name w:val="annotation subject"/>
    <w:basedOn w:val="759"/>
    <w:next w:val="759"/>
    <w:link w:val="762"/>
    <w:uiPriority w:val="99"/>
    <w:semiHidden/>
    <w:unhideWhenUsed/>
    <w:rPr>
      <w:b/>
      <w:bCs/>
    </w:rPr>
  </w:style>
  <w:style w:type="character" w:styleId="762" w:customStyle="1">
    <w:name w:val="Тема примечания Знак"/>
    <w:link w:val="761"/>
    <w:uiPriority w:val="99"/>
    <w:semiHidden/>
    <w:rPr>
      <w:b/>
      <w:bCs/>
      <w:lang w:eastAsia="en-US"/>
    </w:rPr>
  </w:style>
  <w:style w:type="paragraph" w:styleId="763">
    <w:name w:val="List Paragraph"/>
    <w:basedOn w:val="732"/>
    <w:uiPriority w:val="34"/>
    <w:qFormat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64">
    <w:name w:val="Plain Text"/>
    <w:basedOn w:val="732"/>
    <w:link w:val="765"/>
    <w:uiPriority w:val="99"/>
    <w:unhideWhenUsed/>
    <w:pPr>
      <w:spacing w:after="0" w:line="240" w:lineRule="auto"/>
    </w:pPr>
    <w:rPr>
      <w:rFonts w:eastAsia="Times New Roman"/>
      <w:szCs w:val="21"/>
    </w:rPr>
  </w:style>
  <w:style w:type="character" w:styleId="765" w:customStyle="1">
    <w:name w:val="Текст Знак"/>
    <w:link w:val="764"/>
    <w:uiPriority w:val="99"/>
    <w:rPr>
      <w:rFonts w:eastAsia="Times New Roman" w:cs="Times New Roman"/>
      <w:sz w:val="22"/>
      <w:szCs w:val="21"/>
      <w:lang w:eastAsia="en-US"/>
    </w:rPr>
  </w:style>
  <w:style w:type="paragraph" w:styleId="766">
    <w:name w:val="Revision"/>
    <w:hidden/>
    <w:uiPriority w:val="99"/>
    <w:semiHidden/>
    <w:rPr>
      <w:sz w:val="22"/>
      <w:szCs w:val="22"/>
      <w:lang w:eastAsia="en-US"/>
    </w:rPr>
  </w:style>
  <w:style w:type="paragraph" w:styleId="767">
    <w:name w:val="footnote text"/>
    <w:basedOn w:val="732"/>
    <w:link w:val="768"/>
    <w:uiPriority w:val="99"/>
    <w:unhideWhenUsed/>
    <w:pPr>
      <w:spacing w:after="0" w:line="240" w:lineRule="auto"/>
    </w:pPr>
    <w:rPr>
      <w:sz w:val="20"/>
      <w:szCs w:val="20"/>
    </w:rPr>
  </w:style>
  <w:style w:type="character" w:styleId="768" w:customStyle="1">
    <w:name w:val="Текст сноски Знак"/>
    <w:link w:val="767"/>
    <w:uiPriority w:val="99"/>
    <w:rPr>
      <w:lang w:eastAsia="en-US"/>
    </w:rPr>
  </w:style>
  <w:style w:type="character" w:styleId="769">
    <w:name w:val="footnote reference"/>
    <w:rPr>
      <w:vertAlign w:val="superscript"/>
    </w:rPr>
  </w:style>
  <w:style w:type="paragraph" w:styleId="770" w:customStyle="1">
    <w:name w:val="м1"/>
    <w:basedOn w:val="763"/>
    <w:link w:val="771"/>
    <w:qFormat/>
    <w:pPr>
      <w:contextualSpacing/>
      <w:ind w:left="0"/>
      <w:jc w:val="both"/>
      <w:spacing w:before="120" w:after="200"/>
    </w:pPr>
    <w:rPr>
      <w:lang w:eastAsia="en-US" w:bidi="en-US"/>
    </w:rPr>
  </w:style>
  <w:style w:type="character" w:styleId="771" w:customStyle="1">
    <w:name w:val="м1 Знак"/>
    <w:link w:val="770"/>
    <w:rPr>
      <w:rFonts w:ascii="Times New Roman" w:hAnsi="Times New Roman" w:eastAsia="Times New Roman"/>
      <w:sz w:val="24"/>
      <w:szCs w:val="24"/>
      <w:lang w:eastAsia="en-US" w:bidi="en-US"/>
    </w:rPr>
  </w:style>
  <w:style w:type="paragraph" w:styleId="772">
    <w:name w:val="No Spacing"/>
    <w:link w:val="779"/>
    <w:uiPriority w:val="1"/>
    <w:qFormat/>
    <w:rPr>
      <w:sz w:val="22"/>
      <w:szCs w:val="22"/>
      <w:lang w:eastAsia="en-US"/>
    </w:rPr>
  </w:style>
  <w:style w:type="character" w:styleId="773">
    <w:name w:val="Hyperlink"/>
    <w:uiPriority w:val="99"/>
    <w:unhideWhenUsed/>
    <w:rPr>
      <w:color w:val="0000ff"/>
      <w:u w:val="single"/>
    </w:rPr>
  </w:style>
  <w:style w:type="paragraph" w:styleId="774" w:customStyle="1">
    <w:name w:val="ConsPlusTitle"/>
    <w:pPr>
      <w:widowControl w:val="off"/>
    </w:pPr>
    <w:rPr>
      <w:rFonts w:eastAsia="Times New Roman" w:cs="Calibri"/>
      <w:b/>
      <w:sz w:val="22"/>
    </w:rPr>
  </w:style>
  <w:style w:type="character" w:styleId="775" w:customStyle="1">
    <w:name w:val="highlight"/>
    <w:basedOn w:val="742"/>
  </w:style>
  <w:style w:type="paragraph" w:styleId="776">
    <w:name w:val="endnote text"/>
    <w:basedOn w:val="732"/>
    <w:link w:val="777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777" w:customStyle="1">
    <w:name w:val="Текст концевой сноски Знак"/>
    <w:basedOn w:val="742"/>
    <w:link w:val="776"/>
    <w:uiPriority w:val="99"/>
    <w:rPr>
      <w:lang w:eastAsia="en-US"/>
    </w:rPr>
  </w:style>
  <w:style w:type="character" w:styleId="778">
    <w:name w:val="endnote reference"/>
    <w:basedOn w:val="742"/>
    <w:uiPriority w:val="99"/>
    <w:semiHidden/>
    <w:unhideWhenUsed/>
    <w:rPr>
      <w:vertAlign w:val="superscript"/>
    </w:rPr>
  </w:style>
  <w:style w:type="character" w:styleId="779" w:customStyle="1">
    <w:name w:val="Без интервала Знак"/>
    <w:link w:val="772"/>
    <w:uiPriority w:val="1"/>
    <w:rPr>
      <w:sz w:val="22"/>
      <w:szCs w:val="22"/>
      <w:lang w:eastAsia="en-US"/>
    </w:rPr>
  </w:style>
  <w:style w:type="character" w:styleId="780" w:customStyle="1">
    <w:name w:val="Заголовок 1 Знак"/>
    <w:basedOn w:val="742"/>
    <w:link w:val="950"/>
    <w:uiPriority w:val="9"/>
    <w:rPr>
      <w:rFonts w:asciiTheme="majorHAnsi" w:hAnsiTheme="majorHAnsi" w:eastAsiaTheme="majorEastAsia" w:cstheme="majorBidi"/>
      <w:color w:val="365f91" w:themeColor="accent1" w:themeShade="BF"/>
      <w:sz w:val="32"/>
      <w:szCs w:val="32"/>
      <w:lang w:eastAsia="en-US"/>
    </w:rPr>
  </w:style>
  <w:style w:type="character" w:styleId="781" w:customStyle="1">
    <w:name w:val="Заголовок 2 Знак"/>
    <w:basedOn w:val="742"/>
    <w:link w:val="734"/>
    <w:uiPriority w:val="9"/>
    <w:rPr>
      <w:rFonts w:ascii="Arial" w:hAnsi="Arial" w:eastAsia="Arial" w:cs="Arial"/>
      <w:sz w:val="34"/>
      <w:szCs w:val="24"/>
    </w:rPr>
  </w:style>
  <w:style w:type="character" w:styleId="782" w:customStyle="1">
    <w:name w:val="Заголовок 3 Знак"/>
    <w:basedOn w:val="742"/>
    <w:link w:val="951"/>
    <w:uiPriority w:val="9"/>
    <w:semiHidden/>
    <w:rPr>
      <w:rFonts w:asciiTheme="majorHAnsi" w:hAnsiTheme="majorHAnsi" w:eastAsiaTheme="majorEastAsia" w:cstheme="majorBidi"/>
      <w:color w:val="243f60" w:themeColor="accent1" w:themeShade="7F"/>
      <w:sz w:val="24"/>
      <w:szCs w:val="24"/>
      <w:lang w:eastAsia="en-US"/>
    </w:rPr>
  </w:style>
  <w:style w:type="character" w:styleId="783" w:customStyle="1">
    <w:name w:val="Заголовок 4 Знак"/>
    <w:basedOn w:val="742"/>
    <w:link w:val="736"/>
    <w:uiPriority w:val="9"/>
    <w:rPr>
      <w:rFonts w:ascii="Arial" w:hAnsi="Arial" w:eastAsia="Arial" w:cs="Arial"/>
      <w:b/>
      <w:bCs/>
      <w:sz w:val="26"/>
      <w:szCs w:val="26"/>
    </w:rPr>
  </w:style>
  <w:style w:type="character" w:styleId="784" w:customStyle="1">
    <w:name w:val="Заголовок 5 Знак"/>
    <w:basedOn w:val="742"/>
    <w:link w:val="737"/>
    <w:uiPriority w:val="9"/>
    <w:rPr>
      <w:rFonts w:ascii="Arial" w:hAnsi="Arial" w:eastAsia="Arial" w:cs="Arial"/>
      <w:b/>
      <w:bCs/>
      <w:sz w:val="24"/>
      <w:szCs w:val="24"/>
    </w:rPr>
  </w:style>
  <w:style w:type="character" w:styleId="785" w:customStyle="1">
    <w:name w:val="Заголовок 6 Знак"/>
    <w:basedOn w:val="742"/>
    <w:link w:val="738"/>
    <w:uiPriority w:val="9"/>
    <w:rPr>
      <w:rFonts w:ascii="Arial" w:hAnsi="Arial" w:eastAsia="Arial" w:cs="Arial"/>
      <w:b/>
      <w:bCs/>
      <w:sz w:val="22"/>
      <w:szCs w:val="22"/>
    </w:rPr>
  </w:style>
  <w:style w:type="character" w:styleId="786" w:customStyle="1">
    <w:name w:val="Заголовок 7 Знак"/>
    <w:basedOn w:val="742"/>
    <w:link w:val="73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7" w:customStyle="1">
    <w:name w:val="Заголовок 8 Знак"/>
    <w:basedOn w:val="742"/>
    <w:link w:val="740"/>
    <w:uiPriority w:val="9"/>
    <w:rPr>
      <w:rFonts w:ascii="Arial" w:hAnsi="Arial" w:eastAsia="Arial" w:cs="Arial"/>
      <w:i/>
      <w:iCs/>
      <w:sz w:val="22"/>
      <w:szCs w:val="22"/>
    </w:rPr>
  </w:style>
  <w:style w:type="character" w:styleId="788" w:customStyle="1">
    <w:name w:val="Заголовок 9 Знак"/>
    <w:basedOn w:val="742"/>
    <w:link w:val="741"/>
    <w:uiPriority w:val="9"/>
    <w:rPr>
      <w:rFonts w:ascii="Arial" w:hAnsi="Arial" w:eastAsia="Arial" w:cs="Arial"/>
      <w:i/>
      <w:iCs/>
      <w:sz w:val="21"/>
      <w:szCs w:val="21"/>
    </w:rPr>
  </w:style>
  <w:style w:type="character" w:styleId="789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790" w:customStyle="1">
    <w:name w:val="Heading 3 Char"/>
    <w:uiPriority w:val="9"/>
    <w:rPr>
      <w:rFonts w:ascii="Arial" w:hAnsi="Arial" w:eastAsia="Arial" w:cs="Arial"/>
      <w:sz w:val="30"/>
      <w:szCs w:val="30"/>
    </w:rPr>
  </w:style>
  <w:style w:type="paragraph" w:styleId="791">
    <w:name w:val="Title"/>
    <w:basedOn w:val="732"/>
    <w:next w:val="732"/>
    <w:link w:val="792"/>
    <w:uiPriority w:val="10"/>
    <w:qFormat/>
    <w:pPr>
      <w:contextualSpacing/>
      <w:spacing w:before="300" w:line="240" w:lineRule="auto"/>
    </w:pPr>
    <w:rPr>
      <w:rFonts w:ascii="Times New Roman" w:hAnsi="Times New Roman" w:eastAsia="Times New Roman"/>
      <w:sz w:val="48"/>
      <w:szCs w:val="48"/>
      <w:lang w:eastAsia="ru-RU"/>
    </w:rPr>
  </w:style>
  <w:style w:type="character" w:styleId="792" w:customStyle="1">
    <w:name w:val="Заголовок Знак"/>
    <w:basedOn w:val="742"/>
    <w:link w:val="791"/>
    <w:uiPriority w:val="10"/>
    <w:rPr>
      <w:rFonts w:ascii="Times New Roman" w:hAnsi="Times New Roman" w:eastAsia="Times New Roman"/>
      <w:sz w:val="48"/>
      <w:szCs w:val="48"/>
    </w:rPr>
  </w:style>
  <w:style w:type="paragraph" w:styleId="793">
    <w:name w:val="Subtitle"/>
    <w:basedOn w:val="732"/>
    <w:next w:val="732"/>
    <w:link w:val="794"/>
    <w:uiPriority w:val="11"/>
    <w:qFormat/>
    <w:pPr>
      <w:spacing w:before="20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794" w:customStyle="1">
    <w:name w:val="Подзаголовок Знак"/>
    <w:basedOn w:val="742"/>
    <w:link w:val="793"/>
    <w:uiPriority w:val="11"/>
    <w:rPr>
      <w:rFonts w:ascii="Times New Roman" w:hAnsi="Times New Roman" w:eastAsia="Times New Roman"/>
      <w:sz w:val="24"/>
      <w:szCs w:val="24"/>
    </w:rPr>
  </w:style>
  <w:style w:type="paragraph" w:styleId="795">
    <w:name w:val="Quote"/>
    <w:basedOn w:val="732"/>
    <w:next w:val="732"/>
    <w:link w:val="796"/>
    <w:uiPriority w:val="29"/>
    <w:qFormat/>
    <w:pPr>
      <w:ind w:left="720" w:right="720"/>
      <w:spacing w:after="0" w:line="240" w:lineRule="auto"/>
    </w:pPr>
    <w:rPr>
      <w:rFonts w:ascii="Times New Roman" w:hAnsi="Times New Roman" w:eastAsia="Times New Roman"/>
      <w:i/>
      <w:sz w:val="24"/>
      <w:szCs w:val="24"/>
      <w:lang w:eastAsia="ru-RU"/>
    </w:rPr>
  </w:style>
  <w:style w:type="character" w:styleId="796" w:customStyle="1">
    <w:name w:val="Цитата 2 Знак"/>
    <w:basedOn w:val="742"/>
    <w:link w:val="795"/>
    <w:uiPriority w:val="29"/>
    <w:rPr>
      <w:rFonts w:ascii="Times New Roman" w:hAnsi="Times New Roman" w:eastAsia="Times New Roman"/>
      <w:i/>
      <w:sz w:val="24"/>
      <w:szCs w:val="24"/>
    </w:rPr>
  </w:style>
  <w:style w:type="paragraph" w:styleId="797">
    <w:name w:val="Intense Quote"/>
    <w:basedOn w:val="732"/>
    <w:next w:val="732"/>
    <w:link w:val="798"/>
    <w:uiPriority w:val="30"/>
    <w:qFormat/>
    <w:pPr>
      <w:ind w:left="720" w:right="720"/>
      <w:spacing w:after="0" w:line="240" w:lineRule="auto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rFonts w:ascii="Times New Roman" w:hAnsi="Times New Roman" w:eastAsia="Times New Roman"/>
      <w:i/>
      <w:sz w:val="24"/>
      <w:szCs w:val="24"/>
      <w:lang w:eastAsia="ru-RU"/>
    </w:rPr>
  </w:style>
  <w:style w:type="character" w:styleId="798" w:customStyle="1">
    <w:name w:val="Выделенная цитата Знак"/>
    <w:basedOn w:val="742"/>
    <w:link w:val="797"/>
    <w:uiPriority w:val="30"/>
    <w:rPr>
      <w:rFonts w:ascii="Times New Roman" w:hAnsi="Times New Roman" w:eastAsia="Times New Roman"/>
      <w:i/>
      <w:sz w:val="24"/>
      <w:szCs w:val="24"/>
      <w:shd w:val="clear" w:color="auto" w:fill="f2f2f2"/>
    </w:rPr>
  </w:style>
  <w:style w:type="character" w:styleId="799" w:customStyle="1">
    <w:name w:val="Header Char"/>
    <w:uiPriority w:val="99"/>
  </w:style>
  <w:style w:type="character" w:styleId="800" w:customStyle="1">
    <w:name w:val="Footer Char"/>
    <w:uiPriority w:val="99"/>
  </w:style>
  <w:style w:type="paragraph" w:styleId="801">
    <w:name w:val="Caption"/>
    <w:basedOn w:val="732"/>
    <w:next w:val="732"/>
    <w:uiPriority w:val="35"/>
    <w:semiHidden/>
    <w:unhideWhenUsed/>
    <w:qFormat/>
    <w:pPr>
      <w:spacing w:after="0"/>
    </w:pPr>
    <w:rPr>
      <w:rFonts w:ascii="Times New Roman" w:hAnsi="Times New Roman" w:eastAsia="Times New Roman"/>
      <w:b/>
      <w:bCs/>
      <w:color w:val="4f81bd" w:themeColor="accent1"/>
      <w:sz w:val="18"/>
      <w:szCs w:val="18"/>
      <w:lang w:eastAsia="ru-RU"/>
    </w:rPr>
  </w:style>
  <w:style w:type="character" w:styleId="802" w:customStyle="1">
    <w:name w:val="Caption Char"/>
    <w:uiPriority w:val="99"/>
  </w:style>
  <w:style w:type="table" w:styleId="803" w:customStyle="1">
    <w:name w:val="Table Grid Light"/>
    <w:uiPriority w:val="59"/>
    <w:rPr>
      <w:lang w:eastAsia="zh-CN"/>
    </w:r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4">
    <w:name w:val="Plain Table 1"/>
    <w:uiPriority w:val="59"/>
    <w:rPr>
      <w:lang w:eastAsia="zh-CN"/>
    </w:r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5">
    <w:name w:val="Plain Table 2"/>
    <w:uiPriority w:val="59"/>
    <w:rPr>
      <w:lang w:eastAsia="zh-CN"/>
    </w:r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6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7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9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1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32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33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34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35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36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37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38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39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40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41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42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43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44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45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46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47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48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49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50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51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2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3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4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5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6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7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8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66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67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68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69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70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71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72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7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8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9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0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1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2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3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94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95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96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97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98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99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0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1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2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3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4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5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6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7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8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09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0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11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12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13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14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5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6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7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18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19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20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21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22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23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24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25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26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27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28" w:customStyle="1">
    <w:name w:val="Footnote Text Char"/>
    <w:uiPriority w:val="99"/>
    <w:rPr>
      <w:sz w:val="18"/>
    </w:rPr>
  </w:style>
  <w:style w:type="paragraph" w:styleId="929">
    <w:name w:val="toc 1"/>
    <w:basedOn w:val="732"/>
    <w:next w:val="732"/>
    <w:uiPriority w:val="39"/>
    <w:unhideWhenUsed/>
    <w:pPr>
      <w:spacing w:after="57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30">
    <w:name w:val="toc 2"/>
    <w:basedOn w:val="732"/>
    <w:next w:val="732"/>
    <w:uiPriority w:val="39"/>
    <w:unhideWhenUsed/>
    <w:pPr>
      <w:ind w:left="283"/>
      <w:spacing w:after="57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31">
    <w:name w:val="toc 3"/>
    <w:basedOn w:val="732"/>
    <w:next w:val="732"/>
    <w:uiPriority w:val="39"/>
    <w:unhideWhenUsed/>
    <w:pPr>
      <w:ind w:left="567"/>
      <w:spacing w:after="57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32">
    <w:name w:val="toc 4"/>
    <w:basedOn w:val="732"/>
    <w:next w:val="732"/>
    <w:uiPriority w:val="39"/>
    <w:unhideWhenUsed/>
    <w:pPr>
      <w:ind w:left="850"/>
      <w:spacing w:after="57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33">
    <w:name w:val="toc 5"/>
    <w:basedOn w:val="732"/>
    <w:next w:val="732"/>
    <w:uiPriority w:val="39"/>
    <w:unhideWhenUsed/>
    <w:pPr>
      <w:ind w:left="1134"/>
      <w:spacing w:after="57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34">
    <w:name w:val="toc 6"/>
    <w:basedOn w:val="732"/>
    <w:next w:val="732"/>
    <w:uiPriority w:val="39"/>
    <w:unhideWhenUsed/>
    <w:pPr>
      <w:ind w:left="1417"/>
      <w:spacing w:after="57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35">
    <w:name w:val="toc 7"/>
    <w:basedOn w:val="732"/>
    <w:next w:val="732"/>
    <w:uiPriority w:val="39"/>
    <w:unhideWhenUsed/>
    <w:pPr>
      <w:ind w:left="1701"/>
      <w:spacing w:after="57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36">
    <w:name w:val="toc 8"/>
    <w:basedOn w:val="732"/>
    <w:next w:val="732"/>
    <w:uiPriority w:val="39"/>
    <w:unhideWhenUsed/>
    <w:pPr>
      <w:ind w:left="1984"/>
      <w:spacing w:after="57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37">
    <w:name w:val="toc 9"/>
    <w:basedOn w:val="732"/>
    <w:next w:val="732"/>
    <w:uiPriority w:val="39"/>
    <w:unhideWhenUsed/>
    <w:pPr>
      <w:ind w:left="2268"/>
      <w:spacing w:after="57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38">
    <w:name w:val="TOC Heading"/>
    <w:uiPriority w:val="39"/>
    <w:unhideWhenUsed/>
    <w:rPr>
      <w:lang w:eastAsia="zh-CN"/>
    </w:rPr>
  </w:style>
  <w:style w:type="paragraph" w:styleId="939">
    <w:name w:val="table of figures"/>
    <w:basedOn w:val="732"/>
    <w:next w:val="732"/>
    <w:uiPriority w:val="99"/>
    <w:unhideWhenUsed/>
    <w:pPr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numbering" w:styleId="940" w:customStyle="1">
    <w:name w:val="Нет списка1"/>
    <w:next w:val="744"/>
    <w:uiPriority w:val="99"/>
    <w:semiHidden/>
    <w:unhideWhenUsed/>
  </w:style>
  <w:style w:type="numbering" w:styleId="941" w:customStyle="1">
    <w:name w:val="Нет списка2"/>
    <w:next w:val="744"/>
    <w:uiPriority w:val="99"/>
    <w:semiHidden/>
    <w:unhideWhenUsed/>
  </w:style>
  <w:style w:type="table" w:styleId="942" w:customStyle="1">
    <w:name w:val="Сетка таблицы1"/>
    <w:basedOn w:val="743"/>
    <w:next w:val="745"/>
    <w:uiPriority w:val="59"/>
    <w:tblPr/>
  </w:style>
  <w:style w:type="paragraph" w:styleId="943" w:customStyle="1">
    <w:name w:val="Абзац списка2"/>
    <w:basedOn w:val="732"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numbering" w:styleId="944" w:customStyle="1">
    <w:name w:val="Нет списка3"/>
    <w:next w:val="744"/>
    <w:uiPriority w:val="99"/>
    <w:semiHidden/>
    <w:unhideWhenUsed/>
  </w:style>
  <w:style w:type="paragraph" w:styleId="945">
    <w:name w:val="Body Text"/>
    <w:basedOn w:val="732"/>
    <w:link w:val="946"/>
    <w:uiPriority w:val="99"/>
    <w:unhideWhenUsed/>
    <w:pPr>
      <w:spacing w:after="120"/>
    </w:pPr>
  </w:style>
  <w:style w:type="character" w:styleId="946" w:customStyle="1">
    <w:name w:val="Основной текст Знак"/>
    <w:basedOn w:val="742"/>
    <w:link w:val="945"/>
    <w:uiPriority w:val="99"/>
    <w:rPr>
      <w:sz w:val="22"/>
      <w:szCs w:val="22"/>
      <w:lang w:eastAsia="en-US"/>
    </w:rPr>
  </w:style>
  <w:style w:type="paragraph" w:styleId="947" w:customStyle="1">
    <w:name w:val="Стиль начало"/>
    <w:basedOn w:val="732"/>
    <w:pPr>
      <w:spacing w:after="0" w:line="264" w:lineRule="auto"/>
      <w:widowControl w:val="off"/>
    </w:pPr>
    <w:rPr>
      <w:rFonts w:ascii="Times New Roman" w:hAnsi="Times New Roman" w:eastAsia="Times New Roman"/>
      <w:sz w:val="28"/>
      <w:szCs w:val="28"/>
      <w:lang w:eastAsia="ru-RU"/>
    </w:rPr>
  </w:style>
  <w:style w:type="numbering" w:styleId="948" w:customStyle="1">
    <w:name w:val="Нет списка4"/>
    <w:next w:val="744"/>
    <w:uiPriority w:val="99"/>
    <w:semiHidden/>
    <w:unhideWhenUsed/>
  </w:style>
  <w:style w:type="table" w:styleId="949" w:customStyle="1">
    <w:name w:val="Сетка таблицы2"/>
    <w:basedOn w:val="743"/>
    <w:next w:val="745"/>
    <w:uiPriority w:val="59"/>
    <w:rPr>
      <w:lang w:eastAsia="zh-CN"/>
    </w:rPr>
    <w:tblPr/>
  </w:style>
  <w:style w:type="paragraph" w:styleId="950" w:customStyle="1">
    <w:name w:val="Заголовок 11"/>
    <w:basedOn w:val="732"/>
    <w:next w:val="732"/>
    <w:link w:val="780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951" w:customStyle="1">
    <w:name w:val="Заголовок 31"/>
    <w:basedOn w:val="732"/>
    <w:next w:val="732"/>
    <w:link w:val="782"/>
    <w:uiPriority w:val="9"/>
    <w:semiHidden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color w:val="243f60" w:themeColor="accent1" w:themeShade="7F"/>
      <w:sz w:val="24"/>
      <w:szCs w:val="24"/>
    </w:rPr>
  </w:style>
  <w:style w:type="paragraph" w:styleId="952" w:customStyle="1">
    <w:name w:val="МРСК_заголовок_1"/>
    <w:basedOn w:val="733"/>
    <w:next w:val="747"/>
    <w:pPr>
      <w:numPr>
        <w:ilvl w:val="0"/>
        <w:numId w:val="3"/>
      </w:numPr>
      <w:ind w:left="720" w:hanging="360"/>
      <w:jc w:val="both"/>
      <w:keepLines w:val="0"/>
      <w:spacing w:before="240" w:after="60" w:line="300" w:lineRule="auto"/>
      <w:shd w:val="clear" w:color="auto" w:fill="d9d9d9"/>
      <w:tabs>
        <w:tab w:val="clear" w:pos="0" w:leader="none"/>
      </w:tabs>
    </w:pPr>
    <w:rPr>
      <w:rFonts w:ascii="Times New Roman" w:hAnsi="Times New Roman" w:cs="Arial"/>
      <w:caps/>
      <w:color w:val="000000"/>
      <w:lang w:eastAsia="ru-RU"/>
    </w:rPr>
  </w:style>
  <w:style w:type="paragraph" w:styleId="953" w:customStyle="1">
    <w:name w:val="МРСК_заголовок_2"/>
    <w:basedOn w:val="732"/>
    <w:pPr>
      <w:numPr>
        <w:ilvl w:val="1"/>
        <w:numId w:val="3"/>
      </w:numPr>
      <w:contextualSpacing/>
      <w:ind w:firstLine="709"/>
      <w:keepLines/>
      <w:keepNext/>
      <w:spacing w:before="240" w:after="60" w:line="240" w:lineRule="auto"/>
      <w:widowControl w:val="off"/>
      <w:tabs>
        <w:tab w:val="clear" w:pos="0" w:leader="none"/>
        <w:tab w:val="num" w:pos="360" w:leader="none"/>
      </w:tabs>
      <w:suppressLineNumbers/>
    </w:pPr>
    <w:rPr>
      <w:rFonts w:ascii="Times New Roman" w:hAnsi="Times New Roman" w:eastAsia="Times New Roman"/>
      <w:b/>
      <w:caps/>
      <w:sz w:val="26"/>
      <w:szCs w:val="24"/>
      <w:lang w:eastAsia="ru-RU"/>
    </w:rPr>
  </w:style>
  <w:style w:type="paragraph" w:styleId="954" w:customStyle="1">
    <w:name w:val="МРСК_заголовок_малый"/>
    <w:basedOn w:val="732"/>
    <w:pPr>
      <w:jc w:val="center"/>
      <w:keepNext/>
      <w:spacing w:after="0" w:line="240" w:lineRule="auto"/>
    </w:pPr>
    <w:rPr>
      <w:rFonts w:ascii="Times New Roman" w:hAnsi="Times New Roman" w:eastAsia="Times New Roman"/>
      <w:b/>
      <w:caps/>
      <w:sz w:val="24"/>
      <w:szCs w:val="24"/>
      <w:lang w:eastAsia="ru-RU"/>
    </w:rPr>
  </w:style>
  <w:style w:type="paragraph" w:styleId="955" w:customStyle="1">
    <w:name w:val="МРСК_заголовок_3"/>
    <w:basedOn w:val="735"/>
    <w:qFormat/>
    <w:pPr>
      <w:numPr>
        <w:ilvl w:val="2"/>
        <w:numId w:val="3"/>
      </w:numPr>
      <w:ind w:left="0" w:firstLine="0"/>
      <w:jc w:val="both"/>
      <w:keepLines w:val="0"/>
      <w:spacing w:before="240" w:line="300" w:lineRule="auto"/>
      <w:tabs>
        <w:tab w:val="clear" w:pos="1224" w:leader="none"/>
      </w:tabs>
    </w:pPr>
    <w:rPr>
      <w:rFonts w:ascii="Times New Roman" w:hAnsi="Times New Roman"/>
      <w:caps/>
      <w:color w:val="000000"/>
      <w:sz w:val="24"/>
      <w:szCs w:val="26"/>
      <w:lang w:eastAsia="ru-RU"/>
    </w:rPr>
  </w:style>
  <w:style w:type="paragraph" w:styleId="956" w:customStyle="1">
    <w:name w:val="МРСК_шрифт_абзаца"/>
    <w:basedOn w:val="732"/>
    <w:link w:val="957"/>
    <w:pPr>
      <w:contextualSpacing/>
      <w:ind w:firstLine="709"/>
      <w:jc w:val="both"/>
      <w:keepLines/>
      <w:keepNext/>
      <w:spacing w:before="120" w:after="120" w:line="300" w:lineRule="auto"/>
      <w:widowControl w:val="off"/>
      <w:suppressLineNumbers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957" w:customStyle="1">
    <w:name w:val="МРСК_шрифт_абзаца Знак"/>
    <w:link w:val="956"/>
    <w:rPr>
      <w:rFonts w:ascii="Times New Roman" w:hAnsi="Times New Roman" w:eastAsia="Times New Roman"/>
      <w:sz w:val="24"/>
      <w:szCs w:val="24"/>
    </w:rPr>
  </w:style>
  <w:style w:type="character" w:styleId="958" w:customStyle="1">
    <w:name w:val="Заголовок 1 Знак1"/>
    <w:link w:val="733"/>
    <w:uiPriority w:val="9"/>
    <w:rPr>
      <w:rFonts w:ascii="Cambria" w:hAnsi="Cambria" w:eastAsia="Times New Roman"/>
      <w:b/>
      <w:bCs/>
      <w:color w:val="365f91"/>
      <w:sz w:val="28"/>
      <w:szCs w:val="28"/>
      <w:lang w:eastAsia="en-US"/>
    </w:rPr>
  </w:style>
  <w:style w:type="character" w:styleId="959" w:customStyle="1">
    <w:name w:val="Заголовок 3 Знак1"/>
    <w:link w:val="735"/>
    <w:uiPriority w:val="9"/>
    <w:semiHidden/>
    <w:rPr>
      <w:rFonts w:ascii="Cambria" w:hAnsi="Cambria" w:eastAsia="Times New Roman"/>
      <w:b/>
      <w:bCs/>
      <w:color w:val="4f81bd"/>
      <w:sz w:val="22"/>
      <w:szCs w:val="22"/>
      <w:lang w:eastAsia="en-US"/>
    </w:rPr>
  </w:style>
  <w:style w:type="numbering" w:styleId="960" w:customStyle="1">
    <w:name w:val="Нет списка5"/>
    <w:next w:val="744"/>
    <w:uiPriority w:val="99"/>
    <w:semiHidden/>
    <w:unhideWhenUsed/>
  </w:style>
  <w:style w:type="table" w:styleId="961" w:customStyle="1">
    <w:name w:val="Сетка таблицы3"/>
    <w:basedOn w:val="743"/>
    <w:next w:val="745"/>
    <w:uiPriority w:val="59"/>
    <w:rPr>
      <w:lang w:eastAsia="zh-CN"/>
    </w:rPr>
    <w:tblPr/>
  </w:style>
  <w:style w:type="numbering" w:styleId="962" w:customStyle="1">
    <w:name w:val="Нет списка6"/>
    <w:next w:val="744"/>
    <w:uiPriority w:val="99"/>
    <w:semiHidden/>
    <w:unhideWhenUsed/>
  </w:style>
  <w:style w:type="table" w:styleId="963" w:customStyle="1">
    <w:name w:val="Сетка таблицы4"/>
    <w:basedOn w:val="743"/>
    <w:next w:val="745"/>
    <w:uiPriority w:val="59"/>
    <w:rPr>
      <w:lang w:eastAsia="zh-CN"/>
    </w:rPr>
    <w:tblPr/>
  </w:style>
  <w:style w:type="table" w:styleId="964" w:customStyle="1">
    <w:name w:val="Сетка таблицы5"/>
    <w:basedOn w:val="743"/>
    <w:next w:val="745"/>
    <w:uiPriority w:val="39"/>
    <w:rPr>
      <w:lang w:eastAsia="zh-CN"/>
    </w:rPr>
    <w:tblPr/>
  </w:style>
  <w:style w:type="table" w:styleId="965" w:customStyle="1">
    <w:name w:val="Сетка таблицы6"/>
    <w:basedOn w:val="743"/>
    <w:next w:val="745"/>
    <w:uiPriority w:val="39"/>
    <w:rPr>
      <w:lang w:eastAsia="zh-CN"/>
    </w:rPr>
    <w:tblPr/>
  </w:style>
  <w:style w:type="numbering" w:styleId="966" w:customStyle="1">
    <w:name w:val="Нет списка7"/>
    <w:next w:val="744"/>
    <w:uiPriority w:val="99"/>
    <w:semiHidden/>
    <w:unhideWhenUsed/>
  </w:style>
  <w:style w:type="numbering" w:styleId="967" w:customStyle="1">
    <w:name w:val="Нет списка11"/>
    <w:next w:val="744"/>
    <w:uiPriority w:val="99"/>
    <w:semiHidden/>
    <w:unhideWhenUsed/>
  </w:style>
  <w:style w:type="table" w:styleId="968" w:customStyle="1">
    <w:name w:val="Сетка таблицы7"/>
    <w:basedOn w:val="743"/>
    <w:next w:val="745"/>
    <w:uiPriority w:val="59"/>
    <w:rPr>
      <w:lang w:eastAsia="zh-CN"/>
    </w:rPr>
    <w:tblPr/>
  </w:style>
  <w:style w:type="numbering" w:styleId="969" w:customStyle="1">
    <w:name w:val="Нет списка21"/>
    <w:next w:val="744"/>
    <w:uiPriority w:val="99"/>
    <w:semiHidden/>
    <w:unhideWhenUsed/>
  </w:style>
  <w:style w:type="table" w:styleId="970" w:customStyle="1">
    <w:name w:val="Сетка таблицы11"/>
    <w:basedOn w:val="743"/>
    <w:next w:val="745"/>
    <w:uiPriority w:val="59"/>
    <w:rPr>
      <w:lang w:eastAsia="zh-CN"/>
    </w:rPr>
    <w:tblPr/>
  </w:style>
  <w:style w:type="numbering" w:styleId="971" w:customStyle="1">
    <w:name w:val="Нет списка31"/>
    <w:next w:val="744"/>
    <w:uiPriority w:val="99"/>
    <w:semiHidden/>
    <w:unhideWhenUsed/>
  </w:style>
  <w:style w:type="numbering" w:styleId="972" w:customStyle="1">
    <w:name w:val="Нет списка41"/>
    <w:next w:val="744"/>
    <w:uiPriority w:val="99"/>
    <w:semiHidden/>
    <w:unhideWhenUsed/>
  </w:style>
  <w:style w:type="table" w:styleId="973" w:customStyle="1">
    <w:name w:val="Сетка таблицы21"/>
    <w:basedOn w:val="743"/>
    <w:next w:val="745"/>
    <w:uiPriority w:val="59"/>
    <w:rPr>
      <w:lang w:eastAsia="zh-CN"/>
    </w:rPr>
    <w:tblPr/>
  </w:style>
  <w:style w:type="numbering" w:styleId="974" w:customStyle="1">
    <w:name w:val="Нет списка51"/>
    <w:next w:val="744"/>
    <w:uiPriority w:val="99"/>
    <w:semiHidden/>
    <w:unhideWhenUsed/>
  </w:style>
  <w:style w:type="table" w:styleId="975" w:customStyle="1">
    <w:name w:val="Сетка таблицы31"/>
    <w:basedOn w:val="743"/>
    <w:next w:val="745"/>
    <w:uiPriority w:val="59"/>
    <w:rPr>
      <w:lang w:eastAsia="zh-CN"/>
    </w:rPr>
    <w:tblPr/>
  </w:style>
  <w:style w:type="numbering" w:styleId="976" w:customStyle="1">
    <w:name w:val="Нет списка61"/>
    <w:next w:val="744"/>
    <w:uiPriority w:val="99"/>
    <w:semiHidden/>
    <w:unhideWhenUsed/>
  </w:style>
  <w:style w:type="table" w:styleId="977" w:customStyle="1">
    <w:name w:val="Сетка таблицы41"/>
    <w:basedOn w:val="743"/>
    <w:next w:val="745"/>
    <w:uiPriority w:val="59"/>
    <w:rPr>
      <w:lang w:eastAsia="zh-CN"/>
    </w:rPr>
    <w:tblPr/>
  </w:style>
  <w:style w:type="table" w:styleId="978" w:customStyle="1">
    <w:name w:val="Сетка таблицы51"/>
    <w:basedOn w:val="743"/>
    <w:next w:val="745"/>
    <w:uiPriority w:val="39"/>
    <w:rPr>
      <w:lang w:eastAsia="zh-CN"/>
    </w:rPr>
    <w:tblPr/>
  </w:style>
  <w:style w:type="table" w:styleId="979" w:customStyle="1">
    <w:name w:val="Сетка таблицы61"/>
    <w:basedOn w:val="743"/>
    <w:next w:val="745"/>
    <w:uiPriority w:val="39"/>
    <w:rPr>
      <w:lang w:eastAsia="zh-CN"/>
    </w:rPr>
    <w:tblPr/>
  </w:style>
  <w:style w:type="numbering" w:styleId="980" w:customStyle="1">
    <w:name w:val="Нет списка8"/>
    <w:next w:val="744"/>
    <w:uiPriority w:val="99"/>
    <w:semiHidden/>
    <w:unhideWhenUsed/>
  </w:style>
  <w:style w:type="numbering" w:styleId="981" w:customStyle="1">
    <w:name w:val="Нет списка12"/>
    <w:next w:val="744"/>
    <w:uiPriority w:val="99"/>
    <w:semiHidden/>
    <w:unhideWhenUsed/>
  </w:style>
  <w:style w:type="table" w:styleId="982" w:customStyle="1">
    <w:name w:val="Сетка таблицы8"/>
    <w:basedOn w:val="743"/>
    <w:next w:val="745"/>
    <w:uiPriority w:val="59"/>
    <w:rPr>
      <w:lang w:eastAsia="zh-CN"/>
    </w:rPr>
    <w:tblPr/>
  </w:style>
  <w:style w:type="numbering" w:styleId="983" w:customStyle="1">
    <w:name w:val="Нет списка22"/>
    <w:next w:val="744"/>
    <w:uiPriority w:val="99"/>
    <w:semiHidden/>
    <w:unhideWhenUsed/>
  </w:style>
  <w:style w:type="table" w:styleId="984" w:customStyle="1">
    <w:name w:val="Сетка таблицы12"/>
    <w:basedOn w:val="743"/>
    <w:next w:val="745"/>
    <w:uiPriority w:val="59"/>
    <w:rPr>
      <w:lang w:eastAsia="zh-CN"/>
    </w:rPr>
    <w:tblPr/>
  </w:style>
  <w:style w:type="numbering" w:styleId="985" w:customStyle="1">
    <w:name w:val="Нет списка32"/>
    <w:next w:val="744"/>
    <w:uiPriority w:val="99"/>
    <w:semiHidden/>
    <w:unhideWhenUsed/>
  </w:style>
  <w:style w:type="numbering" w:styleId="986" w:customStyle="1">
    <w:name w:val="Нет списка42"/>
    <w:next w:val="744"/>
    <w:uiPriority w:val="99"/>
    <w:semiHidden/>
    <w:unhideWhenUsed/>
  </w:style>
  <w:style w:type="table" w:styleId="987" w:customStyle="1">
    <w:name w:val="Сетка таблицы22"/>
    <w:basedOn w:val="743"/>
    <w:next w:val="745"/>
    <w:uiPriority w:val="59"/>
    <w:rPr>
      <w:lang w:eastAsia="zh-CN"/>
    </w:rPr>
    <w:tblPr/>
  </w:style>
  <w:style w:type="numbering" w:styleId="988" w:customStyle="1">
    <w:name w:val="Нет списка52"/>
    <w:next w:val="744"/>
    <w:uiPriority w:val="99"/>
    <w:semiHidden/>
    <w:unhideWhenUsed/>
  </w:style>
  <w:style w:type="table" w:styleId="989" w:customStyle="1">
    <w:name w:val="Сетка таблицы32"/>
    <w:basedOn w:val="743"/>
    <w:next w:val="745"/>
    <w:uiPriority w:val="59"/>
    <w:rPr>
      <w:lang w:eastAsia="zh-CN"/>
    </w:rPr>
    <w:tblPr/>
  </w:style>
  <w:style w:type="numbering" w:styleId="990" w:customStyle="1">
    <w:name w:val="Нет списка62"/>
    <w:next w:val="744"/>
    <w:uiPriority w:val="99"/>
    <w:semiHidden/>
    <w:unhideWhenUsed/>
  </w:style>
  <w:style w:type="table" w:styleId="991" w:customStyle="1">
    <w:name w:val="Сетка таблицы42"/>
    <w:basedOn w:val="743"/>
    <w:next w:val="745"/>
    <w:uiPriority w:val="59"/>
    <w:rPr>
      <w:lang w:eastAsia="zh-CN"/>
    </w:rPr>
    <w:tblPr/>
  </w:style>
  <w:style w:type="table" w:styleId="992" w:customStyle="1">
    <w:name w:val="Сетка таблицы52"/>
    <w:basedOn w:val="743"/>
    <w:next w:val="745"/>
    <w:uiPriority w:val="39"/>
    <w:rPr>
      <w:lang w:eastAsia="zh-CN"/>
    </w:rPr>
    <w:tblPr/>
  </w:style>
  <w:style w:type="table" w:styleId="993" w:customStyle="1">
    <w:name w:val="Сетка таблицы62"/>
    <w:basedOn w:val="743"/>
    <w:next w:val="745"/>
    <w:uiPriority w:val="39"/>
    <w:rPr>
      <w:lang w:eastAsia="zh-CN"/>
    </w:rPr>
    <w:tblPr/>
  </w:style>
  <w:style w:type="numbering" w:styleId="994" w:customStyle="1">
    <w:name w:val="Нет списка9"/>
    <w:next w:val="744"/>
    <w:uiPriority w:val="99"/>
    <w:semiHidden/>
    <w:unhideWhenUsed/>
  </w:style>
  <w:style w:type="numbering" w:styleId="995" w:customStyle="1">
    <w:name w:val="Нет списка13"/>
    <w:next w:val="744"/>
    <w:uiPriority w:val="99"/>
    <w:semiHidden/>
    <w:unhideWhenUsed/>
  </w:style>
  <w:style w:type="table" w:styleId="996" w:customStyle="1">
    <w:name w:val="Сетка таблицы9"/>
    <w:basedOn w:val="743"/>
    <w:next w:val="745"/>
    <w:uiPriority w:val="59"/>
    <w:rPr>
      <w:lang w:eastAsia="zh-CN"/>
    </w:rPr>
    <w:tblPr/>
  </w:style>
  <w:style w:type="numbering" w:styleId="997" w:customStyle="1">
    <w:name w:val="Нет списка23"/>
    <w:next w:val="744"/>
    <w:uiPriority w:val="99"/>
    <w:semiHidden/>
    <w:unhideWhenUsed/>
  </w:style>
  <w:style w:type="table" w:styleId="998" w:customStyle="1">
    <w:name w:val="Сетка таблицы13"/>
    <w:basedOn w:val="743"/>
    <w:next w:val="745"/>
    <w:uiPriority w:val="59"/>
    <w:rPr>
      <w:lang w:eastAsia="zh-CN"/>
    </w:rPr>
    <w:tblPr/>
  </w:style>
  <w:style w:type="numbering" w:styleId="999" w:customStyle="1">
    <w:name w:val="Нет списка33"/>
    <w:next w:val="744"/>
    <w:uiPriority w:val="99"/>
    <w:semiHidden/>
    <w:unhideWhenUsed/>
  </w:style>
  <w:style w:type="numbering" w:styleId="1000" w:customStyle="1">
    <w:name w:val="Нет списка43"/>
    <w:next w:val="744"/>
    <w:uiPriority w:val="99"/>
    <w:semiHidden/>
    <w:unhideWhenUsed/>
  </w:style>
  <w:style w:type="table" w:styleId="1001" w:customStyle="1">
    <w:name w:val="Сетка таблицы23"/>
    <w:basedOn w:val="743"/>
    <w:next w:val="745"/>
    <w:uiPriority w:val="59"/>
    <w:rPr>
      <w:lang w:eastAsia="zh-CN"/>
    </w:rPr>
    <w:tblPr/>
  </w:style>
  <w:style w:type="numbering" w:styleId="1002" w:customStyle="1">
    <w:name w:val="Нет списка53"/>
    <w:next w:val="744"/>
    <w:uiPriority w:val="99"/>
    <w:semiHidden/>
    <w:unhideWhenUsed/>
  </w:style>
  <w:style w:type="table" w:styleId="1003" w:customStyle="1">
    <w:name w:val="Сетка таблицы33"/>
    <w:basedOn w:val="743"/>
    <w:next w:val="745"/>
    <w:uiPriority w:val="59"/>
    <w:rPr>
      <w:lang w:eastAsia="zh-CN"/>
    </w:rPr>
    <w:tblPr/>
  </w:style>
  <w:style w:type="numbering" w:styleId="1004" w:customStyle="1">
    <w:name w:val="Нет списка63"/>
    <w:next w:val="744"/>
    <w:uiPriority w:val="99"/>
    <w:semiHidden/>
    <w:unhideWhenUsed/>
  </w:style>
  <w:style w:type="table" w:styleId="1005" w:customStyle="1">
    <w:name w:val="Сетка таблицы43"/>
    <w:basedOn w:val="743"/>
    <w:next w:val="745"/>
    <w:uiPriority w:val="59"/>
    <w:rPr>
      <w:lang w:eastAsia="zh-CN"/>
    </w:rPr>
    <w:tblPr/>
  </w:style>
  <w:style w:type="table" w:styleId="1006" w:customStyle="1">
    <w:name w:val="Сетка таблицы53"/>
    <w:basedOn w:val="743"/>
    <w:next w:val="745"/>
    <w:uiPriority w:val="39"/>
    <w:rPr>
      <w:lang w:eastAsia="zh-CN"/>
    </w:rPr>
    <w:tblPr/>
  </w:style>
  <w:style w:type="table" w:styleId="1007" w:customStyle="1">
    <w:name w:val="Сетка таблицы63"/>
    <w:basedOn w:val="743"/>
    <w:next w:val="745"/>
    <w:uiPriority w:val="39"/>
    <w:rPr>
      <w:lang w:eastAsia="zh-CN"/>
    </w:rPr>
    <w:tblPr/>
  </w:style>
  <w:style w:type="numbering" w:styleId="1008" w:customStyle="1">
    <w:name w:val="Нет списка10"/>
    <w:next w:val="744"/>
    <w:uiPriority w:val="99"/>
    <w:semiHidden/>
    <w:unhideWhenUsed/>
  </w:style>
  <w:style w:type="numbering" w:styleId="1009" w:customStyle="1">
    <w:name w:val="Нет списка14"/>
    <w:next w:val="744"/>
    <w:uiPriority w:val="99"/>
    <w:semiHidden/>
    <w:unhideWhenUsed/>
  </w:style>
  <w:style w:type="table" w:styleId="1010" w:customStyle="1">
    <w:name w:val="Сетка таблицы10"/>
    <w:basedOn w:val="743"/>
    <w:next w:val="745"/>
    <w:uiPriority w:val="59"/>
    <w:rPr>
      <w:lang w:eastAsia="zh-CN"/>
    </w:rPr>
    <w:tblPr/>
  </w:style>
  <w:style w:type="numbering" w:styleId="1011" w:customStyle="1">
    <w:name w:val="Нет списка24"/>
    <w:next w:val="744"/>
    <w:uiPriority w:val="99"/>
    <w:semiHidden/>
    <w:unhideWhenUsed/>
  </w:style>
  <w:style w:type="table" w:styleId="1012" w:customStyle="1">
    <w:name w:val="Сетка таблицы14"/>
    <w:basedOn w:val="743"/>
    <w:next w:val="745"/>
    <w:uiPriority w:val="59"/>
    <w:rPr>
      <w:lang w:eastAsia="zh-CN"/>
    </w:rPr>
    <w:tblPr/>
  </w:style>
  <w:style w:type="numbering" w:styleId="1013" w:customStyle="1">
    <w:name w:val="Нет списка34"/>
    <w:next w:val="744"/>
    <w:uiPriority w:val="99"/>
    <w:semiHidden/>
    <w:unhideWhenUsed/>
  </w:style>
  <w:style w:type="numbering" w:styleId="1014" w:customStyle="1">
    <w:name w:val="Нет списка44"/>
    <w:next w:val="744"/>
    <w:uiPriority w:val="99"/>
    <w:semiHidden/>
    <w:unhideWhenUsed/>
  </w:style>
  <w:style w:type="table" w:styleId="1015" w:customStyle="1">
    <w:name w:val="Сетка таблицы24"/>
    <w:basedOn w:val="743"/>
    <w:next w:val="745"/>
    <w:uiPriority w:val="59"/>
    <w:rPr>
      <w:lang w:eastAsia="zh-CN"/>
    </w:rPr>
    <w:tblPr/>
  </w:style>
  <w:style w:type="numbering" w:styleId="1016" w:customStyle="1">
    <w:name w:val="Нет списка54"/>
    <w:next w:val="744"/>
    <w:uiPriority w:val="99"/>
    <w:semiHidden/>
    <w:unhideWhenUsed/>
  </w:style>
  <w:style w:type="table" w:styleId="1017" w:customStyle="1">
    <w:name w:val="Сетка таблицы34"/>
    <w:basedOn w:val="743"/>
    <w:next w:val="745"/>
    <w:uiPriority w:val="59"/>
    <w:rPr>
      <w:lang w:eastAsia="zh-CN"/>
    </w:rPr>
    <w:tblPr/>
  </w:style>
  <w:style w:type="numbering" w:styleId="1018" w:customStyle="1">
    <w:name w:val="Нет списка64"/>
    <w:next w:val="744"/>
    <w:uiPriority w:val="99"/>
    <w:semiHidden/>
    <w:unhideWhenUsed/>
  </w:style>
  <w:style w:type="table" w:styleId="1019" w:customStyle="1">
    <w:name w:val="Сетка таблицы44"/>
    <w:basedOn w:val="743"/>
    <w:next w:val="745"/>
    <w:uiPriority w:val="59"/>
    <w:rPr>
      <w:lang w:eastAsia="zh-CN"/>
    </w:rPr>
    <w:tblPr/>
  </w:style>
  <w:style w:type="table" w:styleId="1020" w:customStyle="1">
    <w:name w:val="Сетка таблицы54"/>
    <w:basedOn w:val="743"/>
    <w:next w:val="745"/>
    <w:uiPriority w:val="39"/>
    <w:rPr>
      <w:lang w:eastAsia="zh-CN"/>
    </w:rPr>
    <w:tblPr/>
  </w:style>
  <w:style w:type="table" w:styleId="1021" w:customStyle="1">
    <w:name w:val="Сетка таблицы64"/>
    <w:basedOn w:val="743"/>
    <w:next w:val="745"/>
    <w:uiPriority w:val="39"/>
    <w:rPr>
      <w:lang w:eastAsia="zh-CN"/>
    </w:rPr>
    <w:tblPr/>
  </w:style>
  <w:style w:type="numbering" w:styleId="1022" w:customStyle="1">
    <w:name w:val="Нет списка15"/>
    <w:next w:val="744"/>
    <w:uiPriority w:val="99"/>
    <w:semiHidden/>
    <w:unhideWhenUsed/>
  </w:style>
  <w:style w:type="numbering" w:styleId="1023" w:customStyle="1">
    <w:name w:val="Нет списка16"/>
    <w:next w:val="744"/>
    <w:uiPriority w:val="99"/>
    <w:semiHidden/>
    <w:unhideWhenUsed/>
  </w:style>
  <w:style w:type="table" w:styleId="1024" w:customStyle="1">
    <w:name w:val="Сетка таблицы15"/>
    <w:basedOn w:val="743"/>
    <w:next w:val="745"/>
    <w:uiPriority w:val="59"/>
    <w:rPr>
      <w:lang w:eastAsia="zh-CN"/>
    </w:rPr>
    <w:tblPr/>
  </w:style>
  <w:style w:type="numbering" w:styleId="1025" w:customStyle="1">
    <w:name w:val="Нет списка25"/>
    <w:next w:val="744"/>
    <w:uiPriority w:val="99"/>
    <w:semiHidden/>
    <w:unhideWhenUsed/>
  </w:style>
  <w:style w:type="table" w:styleId="1026" w:customStyle="1">
    <w:name w:val="Сетка таблицы16"/>
    <w:basedOn w:val="743"/>
    <w:next w:val="745"/>
    <w:uiPriority w:val="59"/>
    <w:rPr>
      <w:lang w:eastAsia="zh-CN"/>
    </w:rPr>
    <w:tblPr/>
  </w:style>
  <w:style w:type="numbering" w:styleId="1027" w:customStyle="1">
    <w:name w:val="Нет списка35"/>
    <w:next w:val="744"/>
    <w:uiPriority w:val="99"/>
    <w:semiHidden/>
    <w:unhideWhenUsed/>
  </w:style>
  <w:style w:type="numbering" w:styleId="1028" w:customStyle="1">
    <w:name w:val="Нет списка45"/>
    <w:next w:val="744"/>
    <w:uiPriority w:val="99"/>
    <w:semiHidden/>
    <w:unhideWhenUsed/>
  </w:style>
  <w:style w:type="table" w:styleId="1029" w:customStyle="1">
    <w:name w:val="Сетка таблицы25"/>
    <w:basedOn w:val="743"/>
    <w:next w:val="745"/>
    <w:uiPriority w:val="59"/>
    <w:rPr>
      <w:lang w:eastAsia="zh-CN"/>
    </w:rPr>
    <w:tblPr/>
  </w:style>
  <w:style w:type="numbering" w:styleId="1030" w:customStyle="1">
    <w:name w:val="Нет списка55"/>
    <w:next w:val="744"/>
    <w:uiPriority w:val="99"/>
    <w:semiHidden/>
    <w:unhideWhenUsed/>
  </w:style>
  <w:style w:type="table" w:styleId="1031" w:customStyle="1">
    <w:name w:val="Сетка таблицы35"/>
    <w:basedOn w:val="743"/>
    <w:next w:val="745"/>
    <w:uiPriority w:val="59"/>
    <w:rPr>
      <w:lang w:eastAsia="zh-CN"/>
    </w:rPr>
    <w:tblPr/>
  </w:style>
  <w:style w:type="numbering" w:styleId="1032" w:customStyle="1">
    <w:name w:val="Нет списка65"/>
    <w:next w:val="744"/>
    <w:uiPriority w:val="99"/>
    <w:semiHidden/>
    <w:unhideWhenUsed/>
  </w:style>
  <w:style w:type="table" w:styleId="1033" w:customStyle="1">
    <w:name w:val="Сетка таблицы45"/>
    <w:basedOn w:val="743"/>
    <w:next w:val="745"/>
    <w:uiPriority w:val="59"/>
    <w:rPr>
      <w:lang w:eastAsia="zh-CN"/>
    </w:rPr>
    <w:tblPr/>
  </w:style>
  <w:style w:type="table" w:styleId="1034" w:customStyle="1">
    <w:name w:val="Сетка таблицы55"/>
    <w:basedOn w:val="743"/>
    <w:next w:val="745"/>
    <w:uiPriority w:val="39"/>
    <w:rPr>
      <w:lang w:eastAsia="zh-CN"/>
    </w:rPr>
    <w:tblPr/>
  </w:style>
  <w:style w:type="table" w:styleId="1035" w:customStyle="1">
    <w:name w:val="Сетка таблицы65"/>
    <w:basedOn w:val="743"/>
    <w:next w:val="745"/>
    <w:uiPriority w:val="39"/>
    <w:rPr>
      <w:lang w:eastAsia="zh-CN"/>
    </w:rPr>
    <w:tblPr/>
  </w:style>
  <w:style w:type="numbering" w:styleId="1036" w:customStyle="1">
    <w:name w:val="Нет списка17"/>
    <w:next w:val="744"/>
    <w:uiPriority w:val="99"/>
    <w:semiHidden/>
    <w:unhideWhenUsed/>
  </w:style>
  <w:style w:type="numbering" w:styleId="1037" w:customStyle="1">
    <w:name w:val="Нет списка18"/>
    <w:next w:val="744"/>
    <w:uiPriority w:val="99"/>
    <w:semiHidden/>
    <w:unhideWhenUsed/>
  </w:style>
  <w:style w:type="table" w:styleId="1038" w:customStyle="1">
    <w:name w:val="Сетка таблицы17"/>
    <w:basedOn w:val="743"/>
    <w:next w:val="745"/>
    <w:uiPriority w:val="59"/>
    <w:rPr>
      <w:lang w:eastAsia="zh-CN"/>
    </w:rPr>
    <w:tblPr/>
  </w:style>
  <w:style w:type="numbering" w:styleId="1039" w:customStyle="1">
    <w:name w:val="Нет списка19"/>
    <w:next w:val="744"/>
    <w:uiPriority w:val="99"/>
    <w:semiHidden/>
    <w:unhideWhenUsed/>
  </w:style>
  <w:style w:type="numbering" w:styleId="1040" w:customStyle="1">
    <w:name w:val="Нет списка110"/>
    <w:next w:val="744"/>
    <w:uiPriority w:val="99"/>
    <w:semiHidden/>
    <w:unhideWhenUsed/>
  </w:style>
  <w:style w:type="table" w:styleId="1041" w:customStyle="1">
    <w:name w:val="Сетка таблицы18"/>
    <w:basedOn w:val="743"/>
    <w:next w:val="745"/>
    <w:uiPriority w:val="59"/>
    <w:rPr>
      <w:lang w:eastAsia="zh-CN"/>
    </w:rPr>
    <w:tblPr/>
  </w:style>
  <w:style w:type="numbering" w:styleId="1042" w:customStyle="1">
    <w:name w:val="Нет списка20"/>
    <w:next w:val="744"/>
    <w:uiPriority w:val="99"/>
    <w:semiHidden/>
    <w:unhideWhenUsed/>
  </w:style>
  <w:style w:type="numbering" w:styleId="1043" w:customStyle="1">
    <w:name w:val="Нет списка111"/>
    <w:next w:val="744"/>
    <w:uiPriority w:val="99"/>
    <w:semiHidden/>
    <w:unhideWhenUsed/>
  </w:style>
  <w:style w:type="table" w:styleId="1044" w:customStyle="1">
    <w:name w:val="Сетка таблицы19"/>
    <w:basedOn w:val="743"/>
    <w:next w:val="745"/>
    <w:uiPriority w:val="59"/>
    <w:rPr>
      <w:lang w:eastAsia="zh-CN"/>
    </w:rPr>
    <w:tblPr/>
  </w:style>
  <w:style w:type="numbering" w:styleId="1045" w:customStyle="1">
    <w:name w:val="Нет списка26"/>
    <w:next w:val="744"/>
    <w:uiPriority w:val="99"/>
    <w:semiHidden/>
    <w:unhideWhenUsed/>
  </w:style>
  <w:style w:type="numbering" w:styleId="1046" w:customStyle="1">
    <w:name w:val="Нет списка112"/>
    <w:next w:val="744"/>
    <w:uiPriority w:val="99"/>
    <w:semiHidden/>
    <w:unhideWhenUsed/>
  </w:style>
  <w:style w:type="table" w:styleId="1047" w:customStyle="1">
    <w:name w:val="Сетка таблицы20"/>
    <w:basedOn w:val="743"/>
    <w:next w:val="745"/>
    <w:uiPriority w:val="59"/>
    <w:rPr>
      <w:lang w:eastAsia="zh-CN"/>
    </w:rPr>
    <w:tblPr/>
  </w:style>
  <w:style w:type="numbering" w:styleId="1048" w:customStyle="1">
    <w:name w:val="Нет списка27"/>
    <w:next w:val="744"/>
    <w:uiPriority w:val="99"/>
    <w:semiHidden/>
    <w:unhideWhenUsed/>
  </w:style>
  <w:style w:type="numbering" w:styleId="1049" w:customStyle="1">
    <w:name w:val="Нет списка113"/>
    <w:next w:val="744"/>
    <w:uiPriority w:val="99"/>
    <w:semiHidden/>
    <w:unhideWhenUsed/>
  </w:style>
  <w:style w:type="table" w:styleId="1050" w:customStyle="1">
    <w:name w:val="Сетка таблицы26"/>
    <w:basedOn w:val="743"/>
    <w:next w:val="745"/>
    <w:uiPriority w:val="59"/>
    <w:rPr>
      <w:lang w:eastAsia="zh-CN"/>
    </w:rPr>
    <w:tblPr/>
  </w:style>
  <w:style w:type="numbering" w:styleId="1051" w:customStyle="1">
    <w:name w:val="Нет списка28"/>
    <w:next w:val="744"/>
    <w:uiPriority w:val="99"/>
    <w:semiHidden/>
    <w:unhideWhenUsed/>
  </w:style>
  <w:style w:type="numbering" w:styleId="1052" w:customStyle="1">
    <w:name w:val="Нет списка114"/>
    <w:next w:val="744"/>
    <w:uiPriority w:val="99"/>
    <w:semiHidden/>
    <w:unhideWhenUsed/>
  </w:style>
  <w:style w:type="table" w:styleId="1053" w:customStyle="1">
    <w:name w:val="Сетка таблицы27"/>
    <w:basedOn w:val="743"/>
    <w:next w:val="745"/>
    <w:uiPriority w:val="59"/>
    <w:rPr>
      <w:lang w:eastAsia="zh-CN"/>
    </w:rPr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customXml" Target="../customXml/item2.xml" /><Relationship Id="rId12" Type="http://schemas.openxmlformats.org/officeDocument/2006/relationships/customXml" Target="../customXml/item3.xml" /><Relationship Id="rId13" Type="http://schemas.openxmlformats.org/officeDocument/2006/relationships/customXml" Target="../customXml/item4.xml" /><Relationship Id="rId14" Type="http://schemas.openxmlformats.org/officeDocument/2006/relationships/image" Target="media/image1.png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image" Target="media/image4.jpg"/><Relationship Id="rId18" Type="http://schemas.openxmlformats.org/officeDocument/2006/relationships/image" Target="media/image5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42AC968EC32AA438B60F78774A7D5C6" ma:contentTypeVersion="0" ma:contentTypeDescription="Создание документа." ma:contentTypeScope="" ma:versionID="c83b4b144561ba51093fa506a605c7b9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AC0F8-90A1-4181-BC13-3C2451E440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1FFA77-F912-459F-92E3-DA9B35B3F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CB387D5-A53E-4C04-8D90-A0435926CB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C7036E6A-933C-4253-A822-E52C4971F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МРСК Сибири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gammel_ea</dc:creator>
  <cp:keywords/>
  <dc:description/>
  <cp:revision>27</cp:revision>
  <dcterms:created xsi:type="dcterms:W3CDTF">2024-10-07T02:30:00Z</dcterms:created>
  <dcterms:modified xsi:type="dcterms:W3CDTF">2025-05-30T04:29:13Z</dcterms:modified>
</cp:coreProperties>
</file>